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9E" w:rsidRPr="00C545E8" w:rsidRDefault="003876AC" w:rsidP="00A9239E">
      <w:pPr>
        <w:jc w:val="center"/>
        <w:rPr>
          <w:rFonts w:ascii="Calibri" w:hAnsi="Calibri"/>
          <w:sz w:val="24"/>
          <w:szCs w:val="24"/>
          <w:lang w:val="en-US"/>
        </w:rPr>
      </w:pPr>
      <w:r w:rsidRPr="00554724">
        <w:rPr>
          <w:rFonts w:ascii="Calibri" w:hAnsi="Calibri"/>
          <w:b/>
          <w:sz w:val="24"/>
          <w:lang w:val="en-US"/>
        </w:rPr>
        <w:t xml:space="preserve"> [</w:t>
      </w:r>
      <w:r w:rsidRPr="00554724">
        <w:rPr>
          <w:rFonts w:ascii="Calibri" w:hAnsi="Calibri"/>
          <w:b/>
          <w:sz w:val="24"/>
          <w:vertAlign w:val="superscript"/>
          <w:lang w:val="en-US"/>
        </w:rPr>
        <w:t>11</w:t>
      </w:r>
      <w:proofErr w:type="gramStart"/>
      <w:r w:rsidRPr="00554724">
        <w:rPr>
          <w:rFonts w:ascii="Calibri" w:hAnsi="Calibri"/>
          <w:b/>
          <w:sz w:val="24"/>
          <w:lang w:val="en-US"/>
        </w:rPr>
        <w:t>C]CO</w:t>
      </w:r>
      <w:r w:rsidRPr="00554724">
        <w:rPr>
          <w:rFonts w:ascii="Calibri" w:hAnsi="Calibri"/>
          <w:b/>
          <w:sz w:val="24"/>
          <w:vertAlign w:val="subscript"/>
          <w:lang w:val="en-US"/>
        </w:rPr>
        <w:t>2</w:t>
      </w:r>
      <w:proofErr w:type="gramEnd"/>
      <w:r w:rsidRPr="00554724">
        <w:rPr>
          <w:rFonts w:ascii="Calibri" w:hAnsi="Calibri"/>
          <w:b/>
          <w:sz w:val="24"/>
          <w:lang w:val="en-US"/>
        </w:rPr>
        <w:t xml:space="preserve"> with &lt;8 MeV protons</w:t>
      </w:r>
      <w:r w:rsidR="00617025">
        <w:rPr>
          <w:rFonts w:ascii="Calibri" w:hAnsi="Calibri"/>
          <w:b/>
          <w:sz w:val="24"/>
          <w:lang w:val="en-US"/>
        </w:rPr>
        <w:t xml:space="preserve"> – </w:t>
      </w:r>
      <w:r w:rsidR="00617025" w:rsidRPr="00C545E8">
        <w:rPr>
          <w:rFonts w:ascii="Calibri" w:hAnsi="Calibri"/>
          <w:b/>
          <w:sz w:val="24"/>
          <w:lang w:val="en-US"/>
        </w:rPr>
        <w:t>Conventional and 3D printed targets</w:t>
      </w:r>
    </w:p>
    <w:p w:rsidR="00C545E8" w:rsidRPr="00C545E8" w:rsidRDefault="00C545E8" w:rsidP="00A9239E">
      <w:pPr>
        <w:jc w:val="center"/>
        <w:rPr>
          <w:rFonts w:ascii="Calibri" w:hAnsi="Calibri"/>
          <w:vertAlign w:val="superscript"/>
          <w:lang w:val="en-US"/>
        </w:rPr>
      </w:pPr>
      <w:r w:rsidRPr="00C545E8">
        <w:rPr>
          <w:rFonts w:ascii="Calibri" w:hAnsi="Calibri"/>
          <w:lang w:val="en-US"/>
        </w:rPr>
        <w:t>M. P</w:t>
      </w:r>
      <w:r w:rsidRPr="00C545E8">
        <w:rPr>
          <w:rFonts w:ascii="Calibri" w:hAnsi="Calibri"/>
          <w:lang w:val="sv-SE"/>
        </w:rPr>
        <w:t>ä</w:t>
      </w:r>
      <w:proofErr w:type="spellStart"/>
      <w:r w:rsidR="003876AC" w:rsidRPr="00C545E8">
        <w:rPr>
          <w:rFonts w:ascii="Calibri" w:hAnsi="Calibri"/>
          <w:lang w:val="en-US"/>
        </w:rPr>
        <w:t>rnaste</w:t>
      </w:r>
      <w:r w:rsidR="003876AC" w:rsidRPr="00C545E8">
        <w:rPr>
          <w:rFonts w:ascii="Calibri" w:hAnsi="Calibri"/>
          <w:vertAlign w:val="superscript"/>
          <w:lang w:val="en-US"/>
        </w:rPr>
        <w:t>a</w:t>
      </w:r>
      <w:proofErr w:type="spellEnd"/>
      <w:r w:rsidR="003876AC" w:rsidRPr="00C545E8">
        <w:rPr>
          <w:rFonts w:ascii="Calibri" w:hAnsi="Calibri"/>
          <w:lang w:val="en-US"/>
        </w:rPr>
        <w:t xml:space="preserve">, </w:t>
      </w:r>
      <w:r w:rsidR="00617025" w:rsidRPr="00C545E8">
        <w:rPr>
          <w:rFonts w:ascii="Calibri" w:hAnsi="Calibri"/>
          <w:lang w:val="en-US"/>
        </w:rPr>
        <w:t xml:space="preserve">M. </w:t>
      </w:r>
      <w:proofErr w:type="spellStart"/>
      <w:r w:rsidR="00617025" w:rsidRPr="00C545E8">
        <w:rPr>
          <w:rFonts w:ascii="Calibri" w:hAnsi="Calibri"/>
          <w:lang w:val="en-US"/>
        </w:rPr>
        <w:t>Jensen</w:t>
      </w:r>
      <w:r w:rsidR="00617025" w:rsidRPr="00C545E8">
        <w:rPr>
          <w:rFonts w:ascii="Calibri" w:hAnsi="Calibri"/>
          <w:vertAlign w:val="superscript"/>
          <w:lang w:val="en-US"/>
        </w:rPr>
        <w:t>b</w:t>
      </w:r>
      <w:proofErr w:type="spellEnd"/>
      <w:r w:rsidR="00617025" w:rsidRPr="00C545E8">
        <w:rPr>
          <w:rFonts w:ascii="Calibri" w:hAnsi="Calibri"/>
          <w:lang w:val="en-US"/>
        </w:rPr>
        <w:t xml:space="preserve">, </w:t>
      </w:r>
      <w:r w:rsidRPr="00C545E8">
        <w:rPr>
          <w:rFonts w:ascii="Calibri" w:hAnsi="Calibri"/>
          <w:lang w:val="en-US"/>
        </w:rPr>
        <w:t xml:space="preserve">J. </w:t>
      </w:r>
      <w:proofErr w:type="spellStart"/>
      <w:r w:rsidRPr="00C545E8">
        <w:rPr>
          <w:rFonts w:ascii="Calibri" w:hAnsi="Calibri"/>
          <w:lang w:val="en-US"/>
        </w:rPr>
        <w:t>Larsson</w:t>
      </w:r>
      <w:r w:rsidR="003F6590" w:rsidRPr="003F6590">
        <w:rPr>
          <w:rFonts w:ascii="Calibri" w:hAnsi="Calibri"/>
          <w:vertAlign w:val="superscript"/>
          <w:lang w:val="en-US"/>
        </w:rPr>
        <w:t>a</w:t>
      </w:r>
      <w:proofErr w:type="spellEnd"/>
      <w:r w:rsidRPr="00C545E8">
        <w:rPr>
          <w:rFonts w:ascii="Calibri" w:hAnsi="Calibri"/>
          <w:lang w:val="en-US"/>
        </w:rPr>
        <w:t xml:space="preserve">, </w:t>
      </w:r>
      <w:r w:rsidR="003876AC" w:rsidRPr="00C545E8">
        <w:rPr>
          <w:rFonts w:ascii="Calibri" w:hAnsi="Calibri"/>
          <w:lang w:val="en-US"/>
        </w:rPr>
        <w:t xml:space="preserve">M. </w:t>
      </w:r>
      <w:proofErr w:type="spellStart"/>
      <w:r w:rsidR="003876AC" w:rsidRPr="00C545E8">
        <w:rPr>
          <w:rFonts w:ascii="Calibri" w:hAnsi="Calibri"/>
          <w:lang w:val="en-US"/>
        </w:rPr>
        <w:t>Carlbom</w:t>
      </w:r>
      <w:r w:rsidR="003876AC" w:rsidRPr="00C545E8">
        <w:rPr>
          <w:rFonts w:ascii="Calibri" w:hAnsi="Calibri"/>
          <w:vertAlign w:val="superscript"/>
          <w:lang w:val="en-US"/>
        </w:rPr>
        <w:t>a</w:t>
      </w:r>
      <w:proofErr w:type="spellEnd"/>
      <w:r w:rsidR="003876AC" w:rsidRPr="00C545E8">
        <w:rPr>
          <w:rFonts w:ascii="Calibri" w:hAnsi="Calibri"/>
          <w:lang w:val="en-US"/>
        </w:rPr>
        <w:t>, F. Rensei</w:t>
      </w:r>
      <w:proofErr w:type="gramStart"/>
      <w:r w:rsidR="003876AC" w:rsidRPr="00C545E8">
        <w:rPr>
          <w:rFonts w:ascii="Calibri" w:hAnsi="Calibri"/>
          <w:vertAlign w:val="superscript"/>
          <w:lang w:val="en-US"/>
        </w:rPr>
        <w:t>1,a</w:t>
      </w:r>
      <w:proofErr w:type="gramEnd"/>
    </w:p>
    <w:p w:rsidR="00A9239E" w:rsidRPr="00C545E8" w:rsidRDefault="00A9239E" w:rsidP="00A9239E">
      <w:pPr>
        <w:jc w:val="center"/>
        <w:rPr>
          <w:rFonts w:ascii="Calibri" w:hAnsi="Calibri"/>
          <w:b/>
          <w:lang w:val="en-US"/>
        </w:rPr>
      </w:pPr>
    </w:p>
    <w:p w:rsidR="003876AC" w:rsidRPr="00C545E8" w:rsidRDefault="003876AC" w:rsidP="003876AC">
      <w:pPr>
        <w:jc w:val="center"/>
        <w:rPr>
          <w:rFonts w:ascii="Calibri" w:hAnsi="Calibri"/>
          <w:sz w:val="18"/>
          <w:szCs w:val="18"/>
          <w:lang w:val="en-GB"/>
        </w:rPr>
      </w:pPr>
      <w:proofErr w:type="spellStart"/>
      <w:r w:rsidRPr="00C545E8">
        <w:rPr>
          <w:rFonts w:ascii="Calibri" w:hAnsi="Calibri"/>
          <w:sz w:val="18"/>
          <w:szCs w:val="18"/>
          <w:vertAlign w:val="superscript"/>
          <w:lang w:val="en-GB"/>
        </w:rPr>
        <w:t>a</w:t>
      </w:r>
      <w:r w:rsidRPr="00C545E8">
        <w:rPr>
          <w:rFonts w:ascii="Calibri" w:hAnsi="Calibri"/>
          <w:sz w:val="18"/>
          <w:szCs w:val="18"/>
          <w:lang w:val="en-GB"/>
        </w:rPr>
        <w:t>GE</w:t>
      </w:r>
      <w:proofErr w:type="spellEnd"/>
      <w:r w:rsidRPr="00C545E8">
        <w:rPr>
          <w:rFonts w:ascii="Calibri" w:hAnsi="Calibri"/>
          <w:sz w:val="18"/>
          <w:szCs w:val="18"/>
          <w:lang w:val="en-GB"/>
        </w:rPr>
        <w:t xml:space="preserve"> Healthcare, GEMS PET Systems, Uppsala, Sweden</w:t>
      </w:r>
    </w:p>
    <w:p w:rsidR="00617025" w:rsidRPr="00554724" w:rsidRDefault="00617025" w:rsidP="003876AC">
      <w:pPr>
        <w:jc w:val="center"/>
        <w:rPr>
          <w:rFonts w:ascii="Calibri" w:hAnsi="Calibri"/>
          <w:sz w:val="18"/>
          <w:szCs w:val="18"/>
          <w:lang w:val="en-GB"/>
        </w:rPr>
      </w:pPr>
      <w:proofErr w:type="spellStart"/>
      <w:r w:rsidRPr="00C545E8">
        <w:rPr>
          <w:rFonts w:ascii="Calibri" w:hAnsi="Calibri"/>
          <w:sz w:val="18"/>
          <w:szCs w:val="18"/>
          <w:vertAlign w:val="superscript"/>
          <w:lang w:val="en-GB"/>
        </w:rPr>
        <w:t>b</w:t>
      </w:r>
      <w:r w:rsidRPr="00C545E8">
        <w:rPr>
          <w:rFonts w:ascii="Calibri" w:hAnsi="Calibri"/>
          <w:sz w:val="18"/>
          <w:szCs w:val="18"/>
          <w:lang w:val="en-GB"/>
        </w:rPr>
        <w:t>The</w:t>
      </w:r>
      <w:proofErr w:type="spellEnd"/>
      <w:r w:rsidRPr="00C545E8">
        <w:rPr>
          <w:rFonts w:ascii="Calibri" w:hAnsi="Calibri"/>
          <w:sz w:val="18"/>
          <w:szCs w:val="18"/>
          <w:lang w:val="en-GB"/>
        </w:rPr>
        <w:t xml:space="preserve"> Hevesy Laboratory, DTU-NUTECH, Roskilde, Denmark</w:t>
      </w:r>
    </w:p>
    <w:p w:rsidR="000C5014" w:rsidRPr="00554724" w:rsidRDefault="000C5014" w:rsidP="000B7F85">
      <w:pPr>
        <w:jc w:val="center"/>
        <w:rPr>
          <w:rFonts w:ascii="Calibri" w:hAnsi="Calibri"/>
          <w:sz w:val="18"/>
          <w:szCs w:val="18"/>
        </w:rPr>
      </w:pPr>
    </w:p>
    <w:p w:rsidR="000C5014" w:rsidRPr="00554724" w:rsidRDefault="000C5014" w:rsidP="000B7F85">
      <w:pPr>
        <w:jc w:val="center"/>
        <w:rPr>
          <w:rFonts w:ascii="Calibri" w:hAnsi="Calibri"/>
          <w:sz w:val="18"/>
          <w:szCs w:val="18"/>
        </w:rPr>
      </w:pPr>
    </w:p>
    <w:p w:rsidR="000C5014" w:rsidRPr="00554724" w:rsidRDefault="000C5014" w:rsidP="000B7F85">
      <w:pPr>
        <w:jc w:val="center"/>
        <w:rPr>
          <w:rFonts w:ascii="Calibri" w:hAnsi="Calibri"/>
          <w:sz w:val="18"/>
          <w:szCs w:val="18"/>
        </w:rPr>
        <w:sectPr w:rsidR="000C5014" w:rsidRPr="00554724" w:rsidSect="000C5014">
          <w:footerReference w:type="default" r:id="rId7"/>
          <w:type w:val="continuous"/>
          <w:pgSz w:w="11906" w:h="16838" w:code="9"/>
          <w:pgMar w:top="1440" w:right="1440" w:bottom="1440" w:left="1800" w:header="709" w:footer="1020" w:gutter="0"/>
          <w:cols w:space="708"/>
          <w:docGrid w:linePitch="360"/>
        </w:sectPr>
      </w:pPr>
    </w:p>
    <w:p w:rsidR="00A9239E" w:rsidRPr="00554724" w:rsidRDefault="00A9239E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54724">
        <w:rPr>
          <w:rFonts w:ascii="Calibri" w:hAnsi="Calibri"/>
          <w:b/>
          <w:lang w:val="en-US"/>
        </w:rPr>
        <w:t>Introduction</w:t>
      </w:r>
    </w:p>
    <w:p w:rsidR="003876AC" w:rsidRPr="00554724" w:rsidRDefault="003876AC" w:rsidP="003876AC">
      <w:pPr>
        <w:rPr>
          <w:rFonts w:ascii="Calibri" w:hAnsi="Calibri"/>
          <w:lang w:val="en-US"/>
        </w:rPr>
      </w:pPr>
    </w:p>
    <w:p w:rsidR="000457B5" w:rsidRDefault="003876AC" w:rsidP="003876AC">
      <w:pPr>
        <w:jc w:val="both"/>
        <w:rPr>
          <w:rFonts w:ascii="Calibri" w:hAnsi="Calibri"/>
          <w:lang w:val="en-US"/>
        </w:rPr>
      </w:pPr>
      <w:r w:rsidRPr="00554724">
        <w:rPr>
          <w:rFonts w:ascii="Calibri" w:hAnsi="Calibri"/>
          <w:lang w:val="en-US"/>
        </w:rPr>
        <w:t>Tailored specifically for meeting local needs of hospitals, there is a growing install base of particularly low energy (i.e. E</w:t>
      </w:r>
      <w:r w:rsidRPr="00554724">
        <w:rPr>
          <w:rFonts w:ascii="Calibri" w:hAnsi="Calibri"/>
          <w:vertAlign w:val="subscript"/>
          <w:lang w:val="en-US"/>
        </w:rPr>
        <w:t>p</w:t>
      </w:r>
      <w:r w:rsidRPr="00554724">
        <w:rPr>
          <w:rFonts w:ascii="Calibri" w:hAnsi="Calibri"/>
          <w:lang w:val="en-US"/>
        </w:rPr>
        <w:t xml:space="preserve"> &lt; 8 MeV) cyclotrons in recent years. The proton energy afforded by such systems is acceptable for </w:t>
      </w:r>
      <w:r w:rsidRPr="00554724">
        <w:rPr>
          <w:rFonts w:ascii="Calibri" w:hAnsi="Calibri"/>
          <w:vertAlign w:val="superscript"/>
          <w:lang w:val="en-US"/>
        </w:rPr>
        <w:t>18</w:t>
      </w:r>
      <w:r w:rsidRPr="00554724">
        <w:rPr>
          <w:rFonts w:ascii="Calibri" w:hAnsi="Calibri"/>
          <w:lang w:val="en-US"/>
        </w:rPr>
        <w:t xml:space="preserve">F production, however, </w:t>
      </w:r>
      <w:r w:rsidRPr="00554724">
        <w:rPr>
          <w:rFonts w:ascii="Calibri" w:hAnsi="Calibri"/>
          <w:vertAlign w:val="superscript"/>
          <w:lang w:val="en-US"/>
        </w:rPr>
        <w:t>11</w:t>
      </w:r>
      <w:r w:rsidRPr="00554724">
        <w:rPr>
          <w:rFonts w:ascii="Calibri" w:hAnsi="Calibri"/>
          <w:lang w:val="en-US"/>
        </w:rPr>
        <w:t xml:space="preserve">C production has largely remained a theoretical exercise to date – an exercise that has limitations given that yields are expected to differ by nearly 250% if irradiating at 8 vs 7 MeV [www-nds.iaea.org/medical]. As experimental assessment is critical, both for understanding yields and molar activity, </w:t>
      </w:r>
      <w:r w:rsidR="00434B51">
        <w:rPr>
          <w:rFonts w:ascii="Calibri" w:hAnsi="Calibri"/>
          <w:lang w:val="en-US"/>
        </w:rPr>
        <w:t>we are investigating [</w:t>
      </w:r>
      <w:r w:rsidR="00434B51" w:rsidRPr="00434B51">
        <w:rPr>
          <w:rFonts w:ascii="Calibri" w:hAnsi="Calibri"/>
          <w:vertAlign w:val="superscript"/>
          <w:lang w:val="en-US"/>
        </w:rPr>
        <w:t>11</w:t>
      </w:r>
      <w:proofErr w:type="gramStart"/>
      <w:r w:rsidR="00434B51">
        <w:rPr>
          <w:rFonts w:ascii="Calibri" w:hAnsi="Calibri"/>
          <w:lang w:val="en-US"/>
        </w:rPr>
        <w:t>C]CO</w:t>
      </w:r>
      <w:r w:rsidR="00434B51" w:rsidRPr="00434B51">
        <w:rPr>
          <w:rFonts w:ascii="Calibri" w:hAnsi="Calibri"/>
          <w:vertAlign w:val="subscript"/>
          <w:lang w:val="en-US"/>
        </w:rPr>
        <w:t>2</w:t>
      </w:r>
      <w:proofErr w:type="gramEnd"/>
      <w:r w:rsidR="00434B51">
        <w:rPr>
          <w:rFonts w:ascii="Calibri" w:hAnsi="Calibri"/>
          <w:lang w:val="en-US"/>
        </w:rPr>
        <w:t xml:space="preserve"> </w:t>
      </w:r>
      <w:r w:rsidR="000457B5">
        <w:rPr>
          <w:rFonts w:ascii="Calibri" w:hAnsi="Calibri"/>
          <w:lang w:val="en-US"/>
        </w:rPr>
        <w:t xml:space="preserve">production on the GE GENtrace 7.8 MeV cyclotron. Conventional aluminum targets have been tested with yield and molar activity data reported herein. In addition, to ease </w:t>
      </w:r>
      <w:r w:rsidR="00617025">
        <w:rPr>
          <w:rFonts w:ascii="Calibri" w:hAnsi="Calibri"/>
          <w:lang w:val="en-US"/>
        </w:rPr>
        <w:t xml:space="preserve">target design optimization by simplifying the machining (e.g. target cavity geometry, cooling channels, </w:t>
      </w:r>
      <w:proofErr w:type="spellStart"/>
      <w:r w:rsidR="00617025">
        <w:rPr>
          <w:rFonts w:ascii="Calibri" w:hAnsi="Calibri"/>
          <w:lang w:val="en-US"/>
        </w:rPr>
        <w:t>etc</w:t>
      </w:r>
      <w:proofErr w:type="spellEnd"/>
      <w:r w:rsidR="00617025">
        <w:rPr>
          <w:rFonts w:ascii="Calibri" w:hAnsi="Calibri"/>
          <w:lang w:val="en-US"/>
        </w:rPr>
        <w:t xml:space="preserve">), </w:t>
      </w:r>
      <w:r w:rsidR="000457B5">
        <w:rPr>
          <w:rFonts w:ascii="Calibri" w:hAnsi="Calibri"/>
          <w:lang w:val="en-US"/>
        </w:rPr>
        <w:t xml:space="preserve">we also report early yield data following irradiation of a 3D printed aluminum target. </w:t>
      </w:r>
    </w:p>
    <w:p w:rsidR="000457B5" w:rsidRDefault="000457B5" w:rsidP="003876AC">
      <w:pPr>
        <w:jc w:val="both"/>
        <w:rPr>
          <w:rFonts w:ascii="Calibri" w:hAnsi="Calibri"/>
          <w:lang w:val="en-US"/>
        </w:rPr>
      </w:pPr>
    </w:p>
    <w:p w:rsidR="00A9239E" w:rsidRPr="00554724" w:rsidRDefault="003876AC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54724">
        <w:rPr>
          <w:rFonts w:ascii="Calibri" w:hAnsi="Calibri"/>
          <w:b/>
          <w:lang w:val="en-US"/>
        </w:rPr>
        <w:t>Material and Methods</w:t>
      </w:r>
    </w:p>
    <w:p w:rsidR="003876AC" w:rsidRPr="00554724" w:rsidRDefault="003876AC" w:rsidP="000B7F85">
      <w:pPr>
        <w:jc w:val="both"/>
        <w:rPr>
          <w:rFonts w:ascii="Calibri" w:hAnsi="Calibri"/>
          <w:lang w:val="en-US"/>
        </w:rPr>
      </w:pPr>
    </w:p>
    <w:p w:rsidR="00680696" w:rsidRDefault="003876AC" w:rsidP="000B7F85">
      <w:pPr>
        <w:jc w:val="both"/>
        <w:rPr>
          <w:rFonts w:ascii="Calibri" w:hAnsi="Calibri"/>
          <w:lang w:val="en-US"/>
        </w:rPr>
      </w:pPr>
      <w:r w:rsidRPr="00554724">
        <w:rPr>
          <w:rFonts w:ascii="Calibri" w:hAnsi="Calibri"/>
          <w:lang w:val="en-US"/>
        </w:rPr>
        <w:t xml:space="preserve">As every keV counts in this energy range for </w:t>
      </w:r>
      <w:r w:rsidRPr="00554724">
        <w:rPr>
          <w:rFonts w:ascii="Calibri" w:hAnsi="Calibri"/>
          <w:vertAlign w:val="superscript"/>
          <w:lang w:val="en-US"/>
        </w:rPr>
        <w:t>11</w:t>
      </w:r>
      <w:r w:rsidRPr="00554724">
        <w:rPr>
          <w:rFonts w:ascii="Calibri" w:hAnsi="Calibri"/>
          <w:lang w:val="en-US"/>
        </w:rPr>
        <w:t xml:space="preserve">C production, yield was maximized </w:t>
      </w:r>
      <w:r w:rsidR="00680696">
        <w:rPr>
          <w:rFonts w:ascii="Calibri" w:hAnsi="Calibri"/>
          <w:lang w:val="en-US"/>
        </w:rPr>
        <w:t xml:space="preserve">for both targets </w:t>
      </w:r>
      <w:r w:rsidRPr="00554724">
        <w:rPr>
          <w:rFonts w:ascii="Calibri" w:hAnsi="Calibri"/>
          <w:lang w:val="en-US"/>
        </w:rPr>
        <w:t xml:space="preserve">by minimizing the </w:t>
      </w:r>
      <w:proofErr w:type="spellStart"/>
      <w:r w:rsidRPr="00554724">
        <w:rPr>
          <w:rFonts w:ascii="Calibri" w:hAnsi="Calibri"/>
          <w:lang w:val="en-US"/>
        </w:rPr>
        <w:t>Havar</w:t>
      </w:r>
      <w:proofErr w:type="spellEnd"/>
      <w:r w:rsidRPr="00554724">
        <w:rPr>
          <w:rFonts w:ascii="Calibri" w:hAnsi="Calibri"/>
          <w:lang w:val="en-US"/>
        </w:rPr>
        <w:t xml:space="preserve"> foil thickness to 10 </w:t>
      </w:r>
      <w:proofErr w:type="spellStart"/>
      <w:r w:rsidRPr="00554724">
        <w:rPr>
          <w:rFonts w:ascii="Calibri" w:hAnsi="Calibri"/>
          <w:lang w:val="en-US"/>
        </w:rPr>
        <w:t>μm</w:t>
      </w:r>
      <w:proofErr w:type="spellEnd"/>
      <w:r w:rsidRPr="00554724">
        <w:rPr>
          <w:rFonts w:ascii="Calibri" w:hAnsi="Calibri"/>
          <w:lang w:val="en-US"/>
        </w:rPr>
        <w:t>, and eliminating the need for helium cooling by use of a gridded support target design. This corresponds to a</w:t>
      </w:r>
      <w:r w:rsidR="00FA575E">
        <w:rPr>
          <w:rFonts w:ascii="Calibri" w:hAnsi="Calibri"/>
          <w:lang w:val="en-US"/>
        </w:rPr>
        <w:t xml:space="preserve"> </w:t>
      </w:r>
      <w:r w:rsidRPr="00554724">
        <w:rPr>
          <w:rFonts w:ascii="Calibri" w:hAnsi="Calibri"/>
          <w:lang w:val="en-US"/>
        </w:rPr>
        <w:t>n</w:t>
      </w:r>
      <w:r w:rsidR="00FA575E">
        <w:rPr>
          <w:rFonts w:ascii="Calibri" w:hAnsi="Calibri"/>
          <w:lang w:val="en-US"/>
        </w:rPr>
        <w:t>ominal</w:t>
      </w:r>
      <w:r w:rsidRPr="00554724">
        <w:rPr>
          <w:rFonts w:ascii="Calibri" w:hAnsi="Calibri"/>
          <w:lang w:val="en-US"/>
        </w:rPr>
        <w:t xml:space="preserve"> incident proton energy on the gas of 7.5 MeV. Irradiations were performed (1% O</w:t>
      </w:r>
      <w:r w:rsidRPr="00554724">
        <w:rPr>
          <w:rFonts w:ascii="Calibri" w:hAnsi="Calibri"/>
          <w:vertAlign w:val="subscript"/>
          <w:lang w:val="en-US"/>
        </w:rPr>
        <w:t>2</w:t>
      </w:r>
      <w:r w:rsidRPr="00554724">
        <w:rPr>
          <w:rFonts w:ascii="Calibri" w:hAnsi="Calibri"/>
          <w:lang w:val="en-US"/>
        </w:rPr>
        <w:t xml:space="preserve"> in N</w:t>
      </w:r>
      <w:r w:rsidRPr="00554724">
        <w:rPr>
          <w:rFonts w:ascii="Calibri" w:hAnsi="Calibri"/>
          <w:vertAlign w:val="subscript"/>
          <w:lang w:val="en-US"/>
        </w:rPr>
        <w:t>2</w:t>
      </w:r>
      <w:r w:rsidRPr="00554724">
        <w:rPr>
          <w:rFonts w:ascii="Calibri" w:hAnsi="Calibri"/>
          <w:lang w:val="en-US"/>
        </w:rPr>
        <w:t>)</w:t>
      </w:r>
      <w:r w:rsidR="00F96958">
        <w:rPr>
          <w:rFonts w:ascii="Calibri" w:hAnsi="Calibri"/>
          <w:lang w:val="en-US"/>
        </w:rPr>
        <w:t xml:space="preserve">, with each target tested on a different cyclotron. Typical irradiation parameters are noted in Table 1. </w:t>
      </w:r>
    </w:p>
    <w:p w:rsidR="00680696" w:rsidRDefault="00680696" w:rsidP="000B7F85">
      <w:pPr>
        <w:jc w:val="both"/>
        <w:rPr>
          <w:rFonts w:ascii="Calibri" w:hAnsi="Calibri"/>
          <w:lang w:val="en-US"/>
        </w:rPr>
      </w:pPr>
    </w:p>
    <w:p w:rsidR="00B4357A" w:rsidRDefault="003876AC" w:rsidP="000B7F85">
      <w:pPr>
        <w:jc w:val="both"/>
        <w:rPr>
          <w:rFonts w:ascii="Calibri" w:hAnsi="Calibri"/>
          <w:lang w:val="en-US"/>
        </w:rPr>
      </w:pPr>
      <w:r w:rsidRPr="00554724">
        <w:rPr>
          <w:rFonts w:ascii="Calibri" w:hAnsi="Calibri"/>
          <w:lang w:val="en-US"/>
        </w:rPr>
        <w:t>Yields of [</w:t>
      </w:r>
      <w:r w:rsidRPr="00554724">
        <w:rPr>
          <w:rFonts w:ascii="Calibri" w:hAnsi="Calibri"/>
          <w:vertAlign w:val="superscript"/>
          <w:lang w:val="en-US"/>
        </w:rPr>
        <w:t>11</w:t>
      </w:r>
      <w:proofErr w:type="gramStart"/>
      <w:r w:rsidRPr="00554724">
        <w:rPr>
          <w:rFonts w:ascii="Calibri" w:hAnsi="Calibri"/>
          <w:lang w:val="en-US"/>
        </w:rPr>
        <w:t>C]CO</w:t>
      </w:r>
      <w:r w:rsidRPr="00554724">
        <w:rPr>
          <w:rFonts w:ascii="Calibri" w:hAnsi="Calibri"/>
          <w:vertAlign w:val="subscript"/>
          <w:lang w:val="en-US"/>
        </w:rPr>
        <w:t>2</w:t>
      </w:r>
      <w:proofErr w:type="gramEnd"/>
      <w:r w:rsidRPr="00554724">
        <w:rPr>
          <w:rFonts w:ascii="Calibri" w:hAnsi="Calibri"/>
          <w:lang w:val="en-US"/>
        </w:rPr>
        <w:t xml:space="preserve"> were assessed by collecting the CO</w:t>
      </w:r>
      <w:r w:rsidRPr="00554724">
        <w:rPr>
          <w:rFonts w:ascii="Calibri" w:hAnsi="Calibri"/>
          <w:vertAlign w:val="subscript"/>
          <w:lang w:val="en-US"/>
        </w:rPr>
        <w:t>2</w:t>
      </w:r>
      <w:r w:rsidRPr="00554724">
        <w:rPr>
          <w:rFonts w:ascii="Calibri" w:hAnsi="Calibri"/>
          <w:lang w:val="en-US"/>
        </w:rPr>
        <w:t xml:space="preserve"> on an </w:t>
      </w:r>
      <w:proofErr w:type="spellStart"/>
      <w:r w:rsidRPr="00554724">
        <w:rPr>
          <w:rFonts w:ascii="Calibri" w:hAnsi="Calibri"/>
          <w:lang w:val="en-US"/>
        </w:rPr>
        <w:t>Ascarite</w:t>
      </w:r>
      <w:proofErr w:type="spellEnd"/>
      <w:r w:rsidRPr="00554724">
        <w:rPr>
          <w:rFonts w:ascii="Calibri" w:hAnsi="Calibri"/>
          <w:lang w:val="en-US"/>
        </w:rPr>
        <w:t xml:space="preserve"> trap in a dose calibrator. </w:t>
      </w:r>
      <w:r w:rsidR="00B4357A">
        <w:rPr>
          <w:rFonts w:ascii="Calibri" w:hAnsi="Calibri"/>
          <w:lang w:val="en-US"/>
        </w:rPr>
        <w:t>The carbon content (</w:t>
      </w:r>
      <w:r w:rsidR="00F96958">
        <w:rPr>
          <w:rFonts w:ascii="Calibri" w:hAnsi="Calibri"/>
          <w:lang w:val="en-US"/>
        </w:rPr>
        <w:t>conventional target #1</w:t>
      </w:r>
      <w:r w:rsidR="00B4357A">
        <w:rPr>
          <w:rFonts w:ascii="Calibri" w:hAnsi="Calibri"/>
          <w:lang w:val="en-US"/>
        </w:rPr>
        <w:t xml:space="preserve">) was assessed by </w:t>
      </w:r>
      <w:r w:rsidR="00997AD2">
        <w:rPr>
          <w:rFonts w:ascii="Calibri" w:hAnsi="Calibri"/>
          <w:lang w:val="en-US"/>
        </w:rPr>
        <w:t xml:space="preserve">GC measurement of combined </w:t>
      </w:r>
      <w:r w:rsidR="00D05919">
        <w:rPr>
          <w:rFonts w:ascii="Calibri" w:hAnsi="Calibri"/>
          <w:lang w:val="en-US"/>
        </w:rPr>
        <w:t xml:space="preserve">total content of </w:t>
      </w:r>
      <w:r w:rsidR="00997AD2">
        <w:rPr>
          <w:rFonts w:ascii="Calibri" w:hAnsi="Calibri"/>
          <w:lang w:val="en-US"/>
        </w:rPr>
        <w:t>CO</w:t>
      </w:r>
      <w:r w:rsidR="00997AD2" w:rsidRPr="00852F22">
        <w:rPr>
          <w:rFonts w:ascii="Calibri" w:hAnsi="Calibri"/>
          <w:vertAlign w:val="subscript"/>
          <w:lang w:val="en-US"/>
        </w:rPr>
        <w:t>2</w:t>
      </w:r>
      <w:r w:rsidR="00997AD2">
        <w:rPr>
          <w:rFonts w:ascii="Calibri" w:hAnsi="Calibri"/>
          <w:lang w:val="en-US"/>
        </w:rPr>
        <w:t xml:space="preserve"> and </w:t>
      </w:r>
      <w:r w:rsidR="00852F22">
        <w:rPr>
          <w:rFonts w:ascii="Calibri" w:hAnsi="Calibri"/>
          <w:lang w:val="en-US"/>
        </w:rPr>
        <w:t>CH</w:t>
      </w:r>
      <w:r w:rsidR="00852F22" w:rsidRPr="00852F22">
        <w:rPr>
          <w:rFonts w:ascii="Calibri" w:hAnsi="Calibri"/>
          <w:vertAlign w:val="subscript"/>
          <w:lang w:val="en-US"/>
        </w:rPr>
        <w:t>4</w:t>
      </w:r>
      <w:r w:rsidR="00852F22">
        <w:rPr>
          <w:rFonts w:ascii="Calibri" w:hAnsi="Calibri"/>
          <w:lang w:val="en-US"/>
        </w:rPr>
        <w:t xml:space="preserve"> following target emptying,</w:t>
      </w:r>
      <w:r w:rsidR="00B4357A">
        <w:rPr>
          <w:rFonts w:ascii="Calibri" w:hAnsi="Calibri"/>
          <w:lang w:val="en-US"/>
        </w:rPr>
        <w:t xml:space="preserve"> </w:t>
      </w:r>
      <w:r w:rsidR="00852F22">
        <w:rPr>
          <w:rFonts w:ascii="Calibri" w:hAnsi="Calibri"/>
          <w:lang w:val="en-US"/>
        </w:rPr>
        <w:t xml:space="preserve">whereas the </w:t>
      </w:r>
      <w:r w:rsidRPr="00554724">
        <w:rPr>
          <w:rFonts w:ascii="Calibri" w:hAnsi="Calibri"/>
          <w:lang w:val="en-US"/>
        </w:rPr>
        <w:t>carbon content</w:t>
      </w:r>
      <w:r w:rsidR="00B4357A">
        <w:rPr>
          <w:rFonts w:ascii="Calibri" w:hAnsi="Calibri"/>
          <w:lang w:val="en-US"/>
        </w:rPr>
        <w:t xml:space="preserve"> (</w:t>
      </w:r>
      <w:r w:rsidR="00F96958">
        <w:rPr>
          <w:rFonts w:ascii="Calibri" w:hAnsi="Calibri"/>
          <w:lang w:val="en-US"/>
        </w:rPr>
        <w:t>conventional target #2</w:t>
      </w:r>
      <w:r w:rsidR="00B4357A">
        <w:rPr>
          <w:rFonts w:ascii="Calibri" w:hAnsi="Calibri"/>
          <w:lang w:val="en-US"/>
        </w:rPr>
        <w:t>)</w:t>
      </w:r>
      <w:r w:rsidRPr="00554724">
        <w:rPr>
          <w:rFonts w:ascii="Calibri" w:hAnsi="Calibri"/>
          <w:lang w:val="en-US"/>
        </w:rPr>
        <w:t xml:space="preserve"> was assessed by injection of a sample loop of target gas, first through a </w:t>
      </w:r>
      <w:proofErr w:type="spellStart"/>
      <w:r w:rsidRPr="00554724">
        <w:rPr>
          <w:rFonts w:ascii="Calibri" w:hAnsi="Calibri"/>
          <w:lang w:val="en-US"/>
        </w:rPr>
        <w:t>methanizer</w:t>
      </w:r>
      <w:proofErr w:type="spellEnd"/>
      <w:r w:rsidR="00852F22">
        <w:rPr>
          <w:rFonts w:ascii="Calibri" w:hAnsi="Calibri"/>
          <w:lang w:val="en-US"/>
        </w:rPr>
        <w:t xml:space="preserve">, </w:t>
      </w:r>
      <w:r w:rsidRPr="00554724">
        <w:rPr>
          <w:rFonts w:ascii="Calibri" w:hAnsi="Calibri"/>
          <w:lang w:val="en-US"/>
        </w:rPr>
        <w:t xml:space="preserve">and subsequently through a GC and FID/integrator. </w:t>
      </w:r>
      <w:r w:rsidR="00B4357A">
        <w:rPr>
          <w:rFonts w:ascii="Calibri" w:hAnsi="Calibri"/>
          <w:lang w:val="en-US"/>
        </w:rPr>
        <w:t xml:space="preserve">Placing the </w:t>
      </w:r>
      <w:proofErr w:type="spellStart"/>
      <w:r w:rsidR="00B4357A">
        <w:rPr>
          <w:rFonts w:ascii="Calibri" w:hAnsi="Calibri"/>
          <w:lang w:val="en-US"/>
        </w:rPr>
        <w:t>methanizer</w:t>
      </w:r>
      <w:proofErr w:type="spellEnd"/>
      <w:r w:rsidR="00B4357A">
        <w:rPr>
          <w:rFonts w:ascii="Calibri" w:hAnsi="Calibri"/>
          <w:lang w:val="en-US"/>
        </w:rPr>
        <w:t xml:space="preserve"> in advance of the GC column ensured a </w:t>
      </w:r>
      <w:r w:rsidR="00B4357A" w:rsidRPr="00554724">
        <w:rPr>
          <w:rFonts w:ascii="Calibri" w:hAnsi="Calibri"/>
          <w:lang w:val="en-US"/>
        </w:rPr>
        <w:t>worst-case assessment of the carbon content (i.e. CO and CO</w:t>
      </w:r>
      <w:r w:rsidR="00B4357A" w:rsidRPr="00554724">
        <w:rPr>
          <w:rFonts w:ascii="Calibri" w:hAnsi="Calibri"/>
          <w:vertAlign w:val="subscript"/>
          <w:lang w:val="en-US"/>
        </w:rPr>
        <w:t>2</w:t>
      </w:r>
      <w:r w:rsidR="00B4357A" w:rsidRPr="00554724">
        <w:rPr>
          <w:rFonts w:ascii="Calibri" w:hAnsi="Calibri"/>
          <w:lang w:val="en-US"/>
        </w:rPr>
        <w:t>)</w:t>
      </w:r>
      <w:r w:rsidR="00B4357A">
        <w:rPr>
          <w:rFonts w:ascii="Calibri" w:hAnsi="Calibri"/>
          <w:lang w:val="en-US"/>
        </w:rPr>
        <w:t xml:space="preserve">. </w:t>
      </w:r>
    </w:p>
    <w:p w:rsidR="00C545E8" w:rsidRDefault="00C545E8" w:rsidP="000B7F85">
      <w:pPr>
        <w:jc w:val="both"/>
        <w:rPr>
          <w:rFonts w:ascii="Calibri" w:hAnsi="Calibri"/>
          <w:lang w:val="en-US"/>
        </w:rPr>
      </w:pPr>
    </w:p>
    <w:p w:rsidR="00A9239E" w:rsidRPr="00554724" w:rsidRDefault="00A9239E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54724">
        <w:rPr>
          <w:rFonts w:ascii="Calibri" w:hAnsi="Calibri"/>
          <w:b/>
          <w:lang w:val="en-US"/>
        </w:rPr>
        <w:t xml:space="preserve">Results and </w:t>
      </w:r>
      <w:r w:rsidR="003876AC" w:rsidRPr="00554724">
        <w:rPr>
          <w:rFonts w:ascii="Calibri" w:hAnsi="Calibri"/>
          <w:b/>
          <w:lang w:val="en-US"/>
        </w:rPr>
        <w:t>Discussion</w:t>
      </w:r>
    </w:p>
    <w:p w:rsidR="003876AC" w:rsidRPr="00554724" w:rsidRDefault="003876AC" w:rsidP="003876AC">
      <w:pPr>
        <w:rPr>
          <w:rFonts w:ascii="Calibri" w:hAnsi="Calibri"/>
          <w:lang w:val="en-US"/>
        </w:rPr>
      </w:pPr>
    </w:p>
    <w:p w:rsidR="004112C8" w:rsidRPr="00617025" w:rsidRDefault="004112C8" w:rsidP="003876AC">
      <w:pPr>
        <w:jc w:val="both"/>
        <w:rPr>
          <w:rFonts w:asciiTheme="minorHAnsi" w:hAnsiTheme="minorHAnsi"/>
          <w:lang w:val="en-US"/>
        </w:rPr>
      </w:pPr>
      <w:r>
        <w:rPr>
          <w:rFonts w:ascii="Calibri" w:hAnsi="Calibri"/>
          <w:lang w:val="en-US"/>
        </w:rPr>
        <w:t xml:space="preserve">Yields </w:t>
      </w:r>
      <w:r w:rsidR="005D5708">
        <w:rPr>
          <w:rFonts w:ascii="Calibri" w:hAnsi="Calibri"/>
          <w:lang w:val="en-US"/>
        </w:rPr>
        <w:t>for both the conventional (</w:t>
      </w:r>
      <w:r w:rsidR="00D05919">
        <w:rPr>
          <w:rFonts w:ascii="Calibri" w:hAnsi="Calibri"/>
          <w:lang w:val="en-US"/>
        </w:rPr>
        <w:t>“</w:t>
      </w:r>
      <w:r w:rsidR="005D5708">
        <w:rPr>
          <w:rFonts w:ascii="Calibri" w:hAnsi="Calibri"/>
          <w:lang w:val="en-US"/>
        </w:rPr>
        <w:t>conv</w:t>
      </w:r>
      <w:r w:rsidR="00D05919">
        <w:rPr>
          <w:rFonts w:ascii="Calibri" w:hAnsi="Calibri"/>
          <w:lang w:val="en-US"/>
        </w:rPr>
        <w:t>”</w:t>
      </w:r>
      <w:r w:rsidR="005D5708">
        <w:rPr>
          <w:rFonts w:ascii="Calibri" w:hAnsi="Calibri"/>
          <w:lang w:val="en-US"/>
        </w:rPr>
        <w:t xml:space="preserve">) </w:t>
      </w:r>
      <w:r w:rsidR="00F96958">
        <w:rPr>
          <w:rFonts w:ascii="Calibri" w:hAnsi="Calibri"/>
          <w:lang w:val="en-US"/>
        </w:rPr>
        <w:t xml:space="preserve">targets </w:t>
      </w:r>
      <w:r w:rsidR="005D5708">
        <w:rPr>
          <w:rFonts w:ascii="Calibri" w:hAnsi="Calibri"/>
          <w:lang w:val="en-US"/>
        </w:rPr>
        <w:t xml:space="preserve">and </w:t>
      </w:r>
      <w:r w:rsidR="00F96958">
        <w:rPr>
          <w:rFonts w:ascii="Calibri" w:hAnsi="Calibri"/>
          <w:lang w:val="en-US"/>
        </w:rPr>
        <w:t xml:space="preserve">the </w:t>
      </w:r>
      <w:r w:rsidR="005D5708">
        <w:rPr>
          <w:rFonts w:ascii="Calibri" w:hAnsi="Calibri"/>
          <w:lang w:val="en-US"/>
        </w:rPr>
        <w:t>3D printed are reported below</w:t>
      </w:r>
      <w:r w:rsidR="009E2AB3">
        <w:rPr>
          <w:rFonts w:ascii="Calibri" w:hAnsi="Calibri"/>
          <w:lang w:val="en-US"/>
        </w:rPr>
        <w:t xml:space="preserve"> in Table 1</w:t>
      </w:r>
      <w:r w:rsidR="005D5708">
        <w:rPr>
          <w:rFonts w:ascii="Calibri" w:hAnsi="Calibri"/>
          <w:lang w:val="en-US"/>
        </w:rPr>
        <w:t xml:space="preserve">. </w:t>
      </w:r>
      <w:r w:rsidR="00245452">
        <w:rPr>
          <w:rFonts w:ascii="Calibri" w:hAnsi="Calibri"/>
          <w:lang w:val="en-US"/>
        </w:rPr>
        <w:t xml:space="preserve">Saturation yields have been </w:t>
      </w:r>
      <w:r w:rsidR="00245452" w:rsidRPr="00852F22">
        <w:rPr>
          <w:rFonts w:asciiTheme="minorHAnsi" w:hAnsiTheme="minorHAnsi"/>
          <w:lang w:val="en-US"/>
        </w:rPr>
        <w:t>calculated assuming an 85% grid transparency</w:t>
      </w:r>
      <w:r w:rsidR="009E2AB3">
        <w:rPr>
          <w:rFonts w:asciiTheme="minorHAnsi" w:hAnsiTheme="minorHAnsi"/>
          <w:lang w:val="en-US"/>
        </w:rPr>
        <w:t xml:space="preserve"> and</w:t>
      </w:r>
      <w:r w:rsidR="00245452" w:rsidRPr="00852F22">
        <w:rPr>
          <w:rFonts w:asciiTheme="minorHAnsi" w:hAnsiTheme="minorHAnsi"/>
          <w:lang w:val="en-US"/>
        </w:rPr>
        <w:t xml:space="preserve"> </w:t>
      </w:r>
      <w:r w:rsidR="00AA1B5F">
        <w:rPr>
          <w:rFonts w:asciiTheme="minorHAnsi" w:hAnsiTheme="minorHAnsi"/>
          <w:lang w:val="en-US"/>
        </w:rPr>
        <w:t>are</w:t>
      </w:r>
      <w:r w:rsidR="00245452" w:rsidRPr="00852F22">
        <w:rPr>
          <w:rFonts w:asciiTheme="minorHAnsi" w:hAnsiTheme="minorHAnsi"/>
          <w:lang w:val="en-US"/>
        </w:rPr>
        <w:t xml:space="preserve"> in reasonable agreement with saturation yields</w:t>
      </w:r>
      <w:r w:rsidR="00245452" w:rsidRPr="00554724">
        <w:rPr>
          <w:rFonts w:ascii="Calibri" w:hAnsi="Calibri"/>
          <w:lang w:val="en-US"/>
        </w:rPr>
        <w:t xml:space="preserve"> of 1.18 GBq/μA at 7.5 MeV noted by IAEA for the </w:t>
      </w:r>
      <w:r w:rsidR="00245452" w:rsidRPr="00554724">
        <w:rPr>
          <w:rFonts w:ascii="Calibri" w:hAnsi="Calibri"/>
          <w:vertAlign w:val="superscript"/>
          <w:lang w:val="en-US"/>
        </w:rPr>
        <w:t>14</w:t>
      </w:r>
      <w:r w:rsidR="00245452" w:rsidRPr="00554724">
        <w:rPr>
          <w:rFonts w:ascii="Calibri" w:hAnsi="Calibri"/>
          <w:lang w:val="en-US"/>
        </w:rPr>
        <w:t>N(</w:t>
      </w:r>
      <w:proofErr w:type="gramStart"/>
      <w:r w:rsidR="00245452" w:rsidRPr="00554724">
        <w:rPr>
          <w:rFonts w:ascii="Calibri" w:hAnsi="Calibri"/>
          <w:lang w:val="en-US"/>
        </w:rPr>
        <w:t>p,α</w:t>
      </w:r>
      <w:proofErr w:type="gramEnd"/>
      <w:r w:rsidR="00245452" w:rsidRPr="00554724">
        <w:rPr>
          <w:rFonts w:ascii="Calibri" w:hAnsi="Calibri"/>
          <w:lang w:val="en-US"/>
        </w:rPr>
        <w:t>)</w:t>
      </w:r>
      <w:r w:rsidR="00245452" w:rsidRPr="00554724">
        <w:rPr>
          <w:rFonts w:ascii="Calibri" w:hAnsi="Calibri"/>
          <w:vertAlign w:val="superscript"/>
          <w:lang w:val="en-US"/>
        </w:rPr>
        <w:t>11</w:t>
      </w:r>
      <w:r w:rsidR="00245452" w:rsidRPr="00554724">
        <w:rPr>
          <w:rFonts w:ascii="Calibri" w:hAnsi="Calibri"/>
          <w:lang w:val="en-US"/>
        </w:rPr>
        <w:t>C reaction.</w:t>
      </w:r>
      <w:r w:rsidR="00F96958">
        <w:rPr>
          <w:rFonts w:ascii="Calibri" w:hAnsi="Calibri"/>
          <w:lang w:val="en-US"/>
        </w:rPr>
        <w:t xml:space="preserve"> </w:t>
      </w:r>
      <w:r w:rsidR="009E2AB3">
        <w:rPr>
          <w:rFonts w:ascii="Calibri" w:hAnsi="Calibri"/>
          <w:lang w:val="en-US"/>
        </w:rPr>
        <w:t>The yield of the 3D printed target was higher than the conventional target</w:t>
      </w:r>
      <w:r w:rsidR="005B0B17">
        <w:rPr>
          <w:rFonts w:ascii="Calibri" w:hAnsi="Calibri"/>
          <w:lang w:val="en-US"/>
        </w:rPr>
        <w:t>s</w:t>
      </w:r>
      <w:r w:rsidR="009E2AB3">
        <w:rPr>
          <w:rFonts w:ascii="Calibri" w:hAnsi="Calibri"/>
          <w:lang w:val="en-US"/>
        </w:rPr>
        <w:t>, h</w:t>
      </w:r>
      <w:r w:rsidR="00F96958">
        <w:rPr>
          <w:rFonts w:ascii="Calibri" w:hAnsi="Calibri"/>
          <w:lang w:val="en-US"/>
        </w:rPr>
        <w:t xml:space="preserve">owever, since each </w:t>
      </w:r>
      <w:r w:rsidR="00F0266C">
        <w:rPr>
          <w:rFonts w:ascii="Calibri" w:hAnsi="Calibri"/>
          <w:lang w:val="en-US"/>
        </w:rPr>
        <w:t xml:space="preserve">of the three </w:t>
      </w:r>
      <w:r w:rsidR="00F96958">
        <w:rPr>
          <w:rFonts w:ascii="Calibri" w:hAnsi="Calibri"/>
          <w:lang w:val="en-US"/>
        </w:rPr>
        <w:t>target</w:t>
      </w:r>
      <w:r w:rsidR="00F0266C">
        <w:rPr>
          <w:rFonts w:ascii="Calibri" w:hAnsi="Calibri"/>
          <w:lang w:val="en-US"/>
        </w:rPr>
        <w:t>s</w:t>
      </w:r>
      <w:r w:rsidR="00F96958">
        <w:rPr>
          <w:rFonts w:ascii="Calibri" w:hAnsi="Calibri"/>
          <w:lang w:val="en-US"/>
        </w:rPr>
        <w:t xml:space="preserve"> w</w:t>
      </w:r>
      <w:r w:rsidR="00F0266C">
        <w:rPr>
          <w:rFonts w:ascii="Calibri" w:hAnsi="Calibri"/>
          <w:lang w:val="en-US"/>
        </w:rPr>
        <w:t>ere</w:t>
      </w:r>
      <w:r w:rsidR="00F96958">
        <w:rPr>
          <w:rFonts w:ascii="Calibri" w:hAnsi="Calibri"/>
          <w:lang w:val="en-US"/>
        </w:rPr>
        <w:t xml:space="preserve"> tested on different cyclotron</w:t>
      </w:r>
      <w:r w:rsidR="00F0266C">
        <w:rPr>
          <w:rFonts w:ascii="Calibri" w:hAnsi="Calibri"/>
          <w:lang w:val="en-US"/>
        </w:rPr>
        <w:t>s</w:t>
      </w:r>
      <w:r w:rsidR="00F96958">
        <w:rPr>
          <w:rFonts w:ascii="Calibri" w:hAnsi="Calibri"/>
          <w:lang w:val="en-US"/>
        </w:rPr>
        <w:t xml:space="preserve">, further investigation is warranted to assess if such </w:t>
      </w:r>
      <w:r w:rsidR="00F96958" w:rsidRPr="00997AD2">
        <w:rPr>
          <w:rFonts w:asciiTheme="minorHAnsi" w:hAnsiTheme="minorHAnsi"/>
          <w:lang w:val="en-US"/>
        </w:rPr>
        <w:t>differences were attributed to nominal energy</w:t>
      </w:r>
      <w:r w:rsidR="00D05919">
        <w:rPr>
          <w:rFonts w:asciiTheme="minorHAnsi" w:hAnsiTheme="minorHAnsi"/>
          <w:lang w:val="en-US"/>
        </w:rPr>
        <w:t xml:space="preserve"> and/or </w:t>
      </w:r>
      <w:r w:rsidR="00F96958" w:rsidRPr="00997AD2">
        <w:rPr>
          <w:rFonts w:asciiTheme="minorHAnsi" w:hAnsiTheme="minorHAnsi"/>
          <w:lang w:val="en-US"/>
        </w:rPr>
        <w:t xml:space="preserve">beam </w:t>
      </w:r>
      <w:r w:rsidR="00F96958" w:rsidRPr="00617025">
        <w:rPr>
          <w:rFonts w:asciiTheme="minorHAnsi" w:hAnsiTheme="minorHAnsi"/>
          <w:lang w:val="en-US"/>
        </w:rPr>
        <w:t xml:space="preserve">shape differences, or, if the gain was attributed to the new target design. In any case, the successful </w:t>
      </w:r>
      <w:r w:rsidR="00D05919" w:rsidRPr="00617025">
        <w:rPr>
          <w:rFonts w:asciiTheme="minorHAnsi" w:hAnsiTheme="minorHAnsi"/>
          <w:lang w:val="en-US"/>
        </w:rPr>
        <w:t xml:space="preserve">production and </w:t>
      </w:r>
      <w:r w:rsidR="00F96958" w:rsidRPr="00617025">
        <w:rPr>
          <w:rFonts w:asciiTheme="minorHAnsi" w:hAnsiTheme="minorHAnsi"/>
          <w:lang w:val="en-US"/>
        </w:rPr>
        <w:t xml:space="preserve">irradiation of a 3D </w:t>
      </w:r>
      <w:r w:rsidR="00617025" w:rsidRPr="00617025">
        <w:rPr>
          <w:rFonts w:asciiTheme="minorHAnsi" w:hAnsiTheme="minorHAnsi"/>
          <w:lang w:val="en-US"/>
        </w:rPr>
        <w:t>aluminum</w:t>
      </w:r>
      <w:r w:rsidR="00F96958" w:rsidRPr="00617025">
        <w:rPr>
          <w:rFonts w:asciiTheme="minorHAnsi" w:hAnsiTheme="minorHAnsi"/>
          <w:lang w:val="en-US"/>
        </w:rPr>
        <w:t xml:space="preserve"> printed target </w:t>
      </w:r>
      <w:r w:rsidR="00D05919" w:rsidRPr="00617025">
        <w:rPr>
          <w:rFonts w:asciiTheme="minorHAnsi" w:hAnsiTheme="minorHAnsi"/>
          <w:lang w:val="en-US"/>
        </w:rPr>
        <w:t>is reported</w:t>
      </w:r>
      <w:r w:rsidR="00F96958" w:rsidRPr="00617025">
        <w:rPr>
          <w:rFonts w:asciiTheme="minorHAnsi" w:hAnsiTheme="minorHAnsi"/>
          <w:lang w:val="en-US"/>
        </w:rPr>
        <w:t xml:space="preserve">. </w:t>
      </w:r>
    </w:p>
    <w:p w:rsidR="004112C8" w:rsidRPr="00617025" w:rsidRDefault="004112C8" w:rsidP="004112C8">
      <w:pPr>
        <w:jc w:val="both"/>
        <w:rPr>
          <w:rFonts w:asciiTheme="minorHAnsi" w:hAnsiTheme="minorHAnsi"/>
          <w:lang w:val="en-GB"/>
        </w:rPr>
      </w:pPr>
    </w:p>
    <w:p w:rsidR="004112C8" w:rsidRPr="00617025" w:rsidRDefault="004112C8" w:rsidP="004112C8">
      <w:pPr>
        <w:spacing w:before="120"/>
        <w:jc w:val="both"/>
        <w:rPr>
          <w:rFonts w:asciiTheme="minorHAnsi" w:hAnsiTheme="minorHAnsi"/>
          <w:lang w:val="en-GB"/>
        </w:rPr>
      </w:pPr>
      <w:r w:rsidRPr="00617025">
        <w:rPr>
          <w:rFonts w:asciiTheme="minorHAnsi" w:hAnsiTheme="minorHAnsi"/>
          <w:smallCaps/>
          <w:lang w:val="en-GB"/>
        </w:rPr>
        <w:t>Table</w:t>
      </w:r>
      <w:r w:rsidRPr="00617025">
        <w:rPr>
          <w:rFonts w:asciiTheme="minorHAnsi" w:hAnsiTheme="minorHAnsi"/>
          <w:lang w:val="en-GB"/>
        </w:rPr>
        <w:t xml:space="preserve"> 1. </w:t>
      </w:r>
      <w:r w:rsidR="005D5708" w:rsidRPr="00617025">
        <w:rPr>
          <w:rFonts w:asciiTheme="minorHAnsi" w:hAnsiTheme="minorHAnsi"/>
          <w:lang w:val="en-US"/>
        </w:rPr>
        <w:t>[</w:t>
      </w:r>
      <w:r w:rsidR="005D5708" w:rsidRPr="00617025">
        <w:rPr>
          <w:rFonts w:asciiTheme="minorHAnsi" w:hAnsiTheme="minorHAnsi"/>
          <w:vertAlign w:val="superscript"/>
          <w:lang w:val="en-US"/>
        </w:rPr>
        <w:t>11</w:t>
      </w:r>
      <w:proofErr w:type="gramStart"/>
      <w:r w:rsidR="005D5708" w:rsidRPr="00617025">
        <w:rPr>
          <w:rFonts w:asciiTheme="minorHAnsi" w:hAnsiTheme="minorHAnsi"/>
          <w:lang w:val="en-US"/>
        </w:rPr>
        <w:t>C]CO</w:t>
      </w:r>
      <w:r w:rsidR="005D5708" w:rsidRPr="00617025">
        <w:rPr>
          <w:rFonts w:asciiTheme="minorHAnsi" w:hAnsiTheme="minorHAnsi"/>
          <w:vertAlign w:val="subscript"/>
          <w:lang w:val="en-US"/>
        </w:rPr>
        <w:t>2</w:t>
      </w:r>
      <w:proofErr w:type="gramEnd"/>
      <w:r w:rsidR="005D5708" w:rsidRPr="00617025">
        <w:rPr>
          <w:rFonts w:asciiTheme="minorHAnsi" w:hAnsiTheme="minorHAnsi"/>
          <w:lang w:val="en-US"/>
        </w:rPr>
        <w:t xml:space="preserve"> </w:t>
      </w:r>
      <w:r w:rsidRPr="00617025">
        <w:rPr>
          <w:rFonts w:asciiTheme="minorHAnsi" w:hAnsiTheme="minorHAnsi"/>
          <w:lang w:val="en-GB"/>
        </w:rPr>
        <w:t>Experimental yields</w:t>
      </w:r>
    </w:p>
    <w:tbl>
      <w:tblPr>
        <w:tblW w:w="3985" w:type="dxa"/>
        <w:tblInd w:w="108" w:type="dxa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5"/>
        <w:gridCol w:w="180"/>
        <w:gridCol w:w="720"/>
        <w:gridCol w:w="450"/>
        <w:gridCol w:w="540"/>
        <w:gridCol w:w="630"/>
        <w:gridCol w:w="810"/>
      </w:tblGrid>
      <w:tr w:rsidR="00985CD4" w:rsidRPr="00617025" w:rsidTr="003F6590">
        <w:trPr>
          <w:trHeight w:val="469"/>
        </w:trPr>
        <w:tc>
          <w:tcPr>
            <w:tcW w:w="6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85CD4" w:rsidRPr="00F0266C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P</w:t>
            </w: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br/>
              <w:t>(bar)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85CD4" w:rsidRPr="00F0266C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I</w:t>
            </w:r>
          </w:p>
          <w:p w:rsidR="00985CD4" w:rsidRPr="00F0266C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  <w:r w:rsidRPr="00F0266C">
              <w:rPr>
                <w:rFonts w:ascii="Calibri" w:hAnsi="Calibri"/>
                <w:bCs/>
                <w:i/>
                <w:sz w:val="18"/>
                <w:szCs w:val="18"/>
                <w:lang w:val="en-GB"/>
              </w:rPr>
              <w:t>(μA)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D4" w:rsidRPr="00F0266C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Time</w:t>
            </w:r>
          </w:p>
          <w:p w:rsidR="00985CD4" w:rsidRPr="00F0266C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(min)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D4" w:rsidRPr="00F0266C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vertAlign w:val="superscript"/>
                <w:lang w:val="en-GB"/>
              </w:rPr>
            </w:pP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Yield</w:t>
            </w: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br/>
              <w:t>(GBq)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D4" w:rsidRPr="00F0266C" w:rsidRDefault="00985CD4" w:rsidP="00412417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</w:pP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Sat yield* (</w:t>
            </w:r>
            <w:r w:rsidRPr="00F0266C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GBq/μA</w:t>
            </w:r>
            <w:r w:rsidRPr="00F0266C">
              <w:rPr>
                <w:rFonts w:asciiTheme="minorHAnsi" w:hAnsiTheme="minorHAnsi"/>
                <w:bCs/>
                <w:i/>
                <w:sz w:val="18"/>
                <w:szCs w:val="18"/>
                <w:lang w:val="en-GB"/>
              </w:rPr>
              <w:t>)</w:t>
            </w:r>
          </w:p>
        </w:tc>
      </w:tr>
      <w:tr w:rsidR="00985CD4" w:rsidRPr="00617025" w:rsidTr="003F6590">
        <w:tc>
          <w:tcPr>
            <w:tcW w:w="65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Conv-1</w:t>
            </w: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5CD4" w:rsidRPr="00617025" w:rsidRDefault="00985CD4" w:rsidP="00245452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16.5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13-15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5CD4" w:rsidRPr="00617025" w:rsidRDefault="00985CD4" w:rsidP="00412417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0.</w:t>
            </w:r>
            <w:r w:rsidR="00A070F8">
              <w:rPr>
                <w:rFonts w:asciiTheme="minorHAnsi" w:hAnsiTheme="minorHAnsi"/>
                <w:sz w:val="18"/>
                <w:szCs w:val="18"/>
                <w:lang w:val="en-GB"/>
              </w:rPr>
              <w:t>70</w:t>
            </w: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-0.7</w:t>
            </w:r>
            <w:r w:rsidR="00A070F8">
              <w:rPr>
                <w:rFonts w:asciiTheme="minorHAnsi" w:hAnsiTheme="minorHAnsi"/>
                <w:sz w:val="18"/>
                <w:szCs w:val="18"/>
                <w:lang w:val="en-GB"/>
              </w:rPr>
              <w:t>9</w:t>
            </w:r>
          </w:p>
        </w:tc>
      </w:tr>
      <w:tr w:rsidR="00985CD4" w:rsidRPr="00617025" w:rsidTr="003F6590">
        <w:tc>
          <w:tcPr>
            <w:tcW w:w="65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F96958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Conv-1</w:t>
            </w: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F96958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F96958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16.5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F96958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35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F96958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F96958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22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F96958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0.8</w:t>
            </w:r>
            <w:r w:rsidR="00A070F8"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</w:p>
        </w:tc>
      </w:tr>
      <w:tr w:rsidR="00985CD4" w:rsidRPr="00617025" w:rsidTr="003F6590"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Conv-2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8-15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GB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US"/>
              </w:rPr>
              <w:t>23(2)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CD4" w:rsidRPr="00617025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1702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0.93(8) </w:t>
            </w:r>
          </w:p>
        </w:tc>
      </w:tr>
      <w:tr w:rsidR="00985CD4" w:rsidRPr="00617025" w:rsidTr="003F6590"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:rsidR="00985CD4" w:rsidRPr="003F6590" w:rsidRDefault="00985CD4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3D</w:t>
            </w: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auto"/>
          </w:tcPr>
          <w:p w:rsidR="00985CD4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985CD4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="Calibri" w:hAnsi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:rsidR="00985CD4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="Calibri" w:hAnsi="Calibri"/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985CD4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5-11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985CD4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5.1-9.0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985CD4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1.1-1.3</w:t>
            </w:r>
          </w:p>
        </w:tc>
      </w:tr>
      <w:tr w:rsidR="00A070F8" w:rsidRPr="00617025" w:rsidTr="003F6590">
        <w:tc>
          <w:tcPr>
            <w:tcW w:w="655" w:type="dxa"/>
            <w:shd w:val="clear" w:color="auto" w:fill="auto"/>
          </w:tcPr>
          <w:p w:rsidR="00A070F8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3D</w:t>
            </w:r>
          </w:p>
        </w:tc>
        <w:tc>
          <w:tcPr>
            <w:tcW w:w="180" w:type="dxa"/>
            <w:shd w:val="clear" w:color="auto" w:fill="auto"/>
          </w:tcPr>
          <w:p w:rsidR="00A070F8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70F8" w:rsidRPr="003F6590" w:rsidRDefault="003F6590" w:rsidP="000A6E7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F6590">
              <w:rPr>
                <w:rFonts w:ascii="Calibri" w:hAnsi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:rsidR="00A070F8" w:rsidRPr="003F6590" w:rsidRDefault="003F6590" w:rsidP="000A6E7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F6590">
              <w:rPr>
                <w:rFonts w:ascii="Calibri" w:hAnsi="Calibri"/>
                <w:sz w:val="18"/>
                <w:szCs w:val="18"/>
                <w:lang w:val="en-GB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:rsidR="00A070F8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:rsidR="00A070F8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24(1)</w:t>
            </w:r>
          </w:p>
        </w:tc>
        <w:tc>
          <w:tcPr>
            <w:tcW w:w="810" w:type="dxa"/>
            <w:shd w:val="clear" w:color="auto" w:fill="auto"/>
          </w:tcPr>
          <w:p w:rsidR="00A070F8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1.11(6)</w:t>
            </w:r>
          </w:p>
        </w:tc>
      </w:tr>
      <w:tr w:rsidR="003F6590" w:rsidRPr="00617025" w:rsidTr="003F6590"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</w:tcPr>
          <w:p w:rsidR="003F6590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3D</w:t>
            </w:r>
          </w:p>
        </w:tc>
        <w:tc>
          <w:tcPr>
            <w:tcW w:w="180" w:type="dxa"/>
            <w:tcBorders>
              <w:bottom w:val="single" w:sz="12" w:space="0" w:color="auto"/>
            </w:tcBorders>
            <w:shd w:val="clear" w:color="auto" w:fill="auto"/>
          </w:tcPr>
          <w:p w:rsidR="003F6590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3F6590" w:rsidRPr="003F6590" w:rsidRDefault="003F6590" w:rsidP="000A6E7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F6590">
              <w:rPr>
                <w:rFonts w:ascii="Calibri" w:hAnsi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</w:tcPr>
          <w:p w:rsidR="003F6590" w:rsidRPr="003F6590" w:rsidRDefault="003F6590" w:rsidP="000A6E71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3F6590">
              <w:rPr>
                <w:rFonts w:ascii="Calibri" w:hAnsi="Calibri"/>
                <w:sz w:val="18"/>
                <w:szCs w:val="18"/>
                <w:lang w:val="en-GB"/>
              </w:rPr>
              <w:t>40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3F6590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50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</w:tcPr>
          <w:p w:rsidR="003F6590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31.7(4)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</w:tcPr>
          <w:p w:rsidR="003F6590" w:rsidRPr="003F6590" w:rsidRDefault="003F6590" w:rsidP="000A6E71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3F6590">
              <w:rPr>
                <w:rFonts w:asciiTheme="minorHAnsi" w:hAnsiTheme="minorHAnsi"/>
                <w:sz w:val="18"/>
                <w:szCs w:val="18"/>
                <w:lang w:val="en-GB"/>
              </w:rPr>
              <w:t>1.14(1)</w:t>
            </w:r>
          </w:p>
        </w:tc>
      </w:tr>
    </w:tbl>
    <w:p w:rsidR="004112C8" w:rsidRPr="00985CD4" w:rsidRDefault="00985CD4" w:rsidP="00B15C1F">
      <w:pPr>
        <w:ind w:left="708"/>
        <w:jc w:val="both"/>
        <w:rPr>
          <w:rFonts w:asciiTheme="minorHAnsi" w:hAnsiTheme="minorHAnsi"/>
          <w:sz w:val="14"/>
          <w:lang w:val="en-US"/>
        </w:rPr>
      </w:pPr>
      <w:r w:rsidRPr="00985CD4">
        <w:rPr>
          <w:rFonts w:asciiTheme="minorHAnsi" w:hAnsiTheme="minorHAnsi"/>
          <w:sz w:val="14"/>
          <w:lang w:val="en-US"/>
        </w:rPr>
        <w:t>*scaled assuming 85% grid transparency</w:t>
      </w:r>
    </w:p>
    <w:p w:rsidR="00985CD4" w:rsidRDefault="00985CD4" w:rsidP="003876AC">
      <w:pPr>
        <w:jc w:val="both"/>
        <w:rPr>
          <w:rFonts w:asciiTheme="minorHAnsi" w:hAnsiTheme="minorHAnsi"/>
          <w:lang w:val="en-US"/>
        </w:rPr>
      </w:pPr>
    </w:p>
    <w:p w:rsidR="003876AC" w:rsidRDefault="003876AC" w:rsidP="003876AC">
      <w:pPr>
        <w:jc w:val="both"/>
        <w:rPr>
          <w:rFonts w:ascii="Calibri" w:hAnsi="Calibri"/>
          <w:lang w:val="en-US"/>
        </w:rPr>
      </w:pPr>
      <w:r w:rsidRPr="00617025">
        <w:rPr>
          <w:rFonts w:asciiTheme="minorHAnsi" w:hAnsiTheme="minorHAnsi"/>
          <w:lang w:val="en-US"/>
        </w:rPr>
        <w:t>Molar activity ha</w:t>
      </w:r>
      <w:r w:rsidR="00985CD4">
        <w:rPr>
          <w:rFonts w:asciiTheme="minorHAnsi" w:hAnsiTheme="minorHAnsi"/>
          <w:lang w:val="en-US"/>
        </w:rPr>
        <w:t>s</w:t>
      </w:r>
      <w:r w:rsidRPr="00617025">
        <w:rPr>
          <w:rFonts w:asciiTheme="minorHAnsi" w:hAnsiTheme="minorHAnsi"/>
          <w:lang w:val="en-US"/>
        </w:rPr>
        <w:t xml:space="preserve"> been variable, with additional measurements required, however, </w:t>
      </w:r>
      <w:r w:rsidR="00D05919" w:rsidRPr="00617025">
        <w:rPr>
          <w:rFonts w:asciiTheme="minorHAnsi" w:hAnsiTheme="minorHAnsi"/>
          <w:lang w:val="en-US"/>
        </w:rPr>
        <w:t xml:space="preserve">decay corrected to end of bombardment, </w:t>
      </w:r>
      <w:r w:rsidRPr="00617025">
        <w:rPr>
          <w:rFonts w:asciiTheme="minorHAnsi" w:hAnsiTheme="minorHAnsi"/>
          <w:lang w:val="en-US"/>
        </w:rPr>
        <w:t xml:space="preserve">values </w:t>
      </w:r>
      <w:r w:rsidR="00D05919" w:rsidRPr="00617025">
        <w:rPr>
          <w:rFonts w:asciiTheme="minorHAnsi" w:hAnsiTheme="minorHAnsi"/>
          <w:lang w:val="en-US"/>
        </w:rPr>
        <w:t>ranging from 150-740</w:t>
      </w:r>
      <w:r w:rsidR="00617025" w:rsidRPr="00617025">
        <w:rPr>
          <w:rFonts w:asciiTheme="minorHAnsi" w:hAnsiTheme="minorHAnsi"/>
          <w:lang w:val="en-US"/>
        </w:rPr>
        <w:t xml:space="preserve"> GBq/</w:t>
      </w:r>
      <w:proofErr w:type="spellStart"/>
      <w:r w:rsidR="00617025" w:rsidRPr="00617025">
        <w:rPr>
          <w:rFonts w:asciiTheme="minorHAnsi" w:hAnsiTheme="minorHAnsi"/>
          <w:lang w:val="en-US"/>
        </w:rPr>
        <w:t>μ</w:t>
      </w:r>
      <w:r w:rsidR="00F96958" w:rsidRPr="00617025">
        <w:rPr>
          <w:rFonts w:asciiTheme="minorHAnsi" w:hAnsiTheme="minorHAnsi"/>
          <w:lang w:val="en-US"/>
        </w:rPr>
        <w:t>mol</w:t>
      </w:r>
      <w:proofErr w:type="spellEnd"/>
      <w:r w:rsidR="00F96958" w:rsidRPr="00617025">
        <w:rPr>
          <w:rFonts w:asciiTheme="minorHAnsi" w:hAnsiTheme="minorHAnsi"/>
          <w:lang w:val="en-US"/>
        </w:rPr>
        <w:t xml:space="preserve"> </w:t>
      </w:r>
      <w:r w:rsidR="00D05919" w:rsidRPr="00617025">
        <w:rPr>
          <w:rFonts w:asciiTheme="minorHAnsi" w:hAnsiTheme="minorHAnsi"/>
          <w:lang w:val="en-US"/>
        </w:rPr>
        <w:t xml:space="preserve">are reported for Conv-1, </w:t>
      </w:r>
      <w:r w:rsidR="00F96958" w:rsidRPr="00617025">
        <w:rPr>
          <w:rFonts w:asciiTheme="minorHAnsi" w:hAnsiTheme="minorHAnsi"/>
          <w:lang w:val="en-US"/>
        </w:rPr>
        <w:t xml:space="preserve">and </w:t>
      </w:r>
      <w:r w:rsidR="00617025" w:rsidRPr="00617025">
        <w:rPr>
          <w:rFonts w:asciiTheme="minorHAnsi" w:hAnsiTheme="minorHAnsi"/>
          <w:lang w:val="en-US"/>
        </w:rPr>
        <w:t xml:space="preserve">values </w:t>
      </w:r>
      <w:proofErr w:type="gramStart"/>
      <w:r w:rsidR="00F96958" w:rsidRPr="00617025">
        <w:rPr>
          <w:rFonts w:asciiTheme="minorHAnsi" w:hAnsiTheme="minorHAnsi"/>
          <w:lang w:val="en-US"/>
        </w:rPr>
        <w:t>in excess of</w:t>
      </w:r>
      <w:proofErr w:type="gramEnd"/>
      <w:r w:rsidR="00F96958" w:rsidRPr="00617025">
        <w:rPr>
          <w:rFonts w:asciiTheme="minorHAnsi" w:hAnsiTheme="minorHAnsi"/>
          <w:lang w:val="en-US"/>
        </w:rPr>
        <w:t xml:space="preserve"> 300 GBq/</w:t>
      </w:r>
      <w:proofErr w:type="spellStart"/>
      <w:r w:rsidR="00617025" w:rsidRPr="00617025">
        <w:rPr>
          <w:rFonts w:asciiTheme="minorHAnsi" w:hAnsiTheme="minorHAnsi"/>
          <w:lang w:val="en-US"/>
        </w:rPr>
        <w:t>μ</w:t>
      </w:r>
      <w:r w:rsidR="00F96958" w:rsidRPr="00617025">
        <w:rPr>
          <w:rFonts w:asciiTheme="minorHAnsi" w:hAnsiTheme="minorHAnsi"/>
          <w:lang w:val="en-US"/>
        </w:rPr>
        <w:t>mol</w:t>
      </w:r>
      <w:proofErr w:type="spellEnd"/>
      <w:r w:rsidR="00F96958" w:rsidRPr="00617025">
        <w:rPr>
          <w:rFonts w:asciiTheme="minorHAnsi" w:hAnsiTheme="minorHAnsi"/>
          <w:lang w:val="en-US"/>
        </w:rPr>
        <w:t xml:space="preserve"> </w:t>
      </w:r>
      <w:r w:rsidR="00617025" w:rsidRPr="00617025">
        <w:rPr>
          <w:rFonts w:asciiTheme="minorHAnsi" w:hAnsiTheme="minorHAnsi"/>
          <w:lang w:val="en-US"/>
        </w:rPr>
        <w:t xml:space="preserve">are reported </w:t>
      </w:r>
      <w:r w:rsidR="00D05919" w:rsidRPr="00617025">
        <w:rPr>
          <w:rFonts w:asciiTheme="minorHAnsi" w:hAnsiTheme="minorHAnsi"/>
          <w:lang w:val="en-US"/>
        </w:rPr>
        <w:t>for Conv-2.</w:t>
      </w:r>
      <w:r w:rsidR="00F96958" w:rsidRPr="00617025">
        <w:rPr>
          <w:rFonts w:asciiTheme="minorHAnsi" w:hAnsiTheme="minorHAnsi"/>
          <w:lang w:val="en-US"/>
        </w:rPr>
        <w:t xml:space="preserve"> </w:t>
      </w:r>
      <w:r w:rsidR="00D05919" w:rsidRPr="00617025">
        <w:rPr>
          <w:rFonts w:asciiTheme="minorHAnsi" w:hAnsiTheme="minorHAnsi"/>
          <w:lang w:val="en-US"/>
        </w:rPr>
        <w:t>Molar activity measurements are a next step in the testing of the 3D printed aluminum</w:t>
      </w:r>
      <w:r w:rsidR="00D05919">
        <w:rPr>
          <w:rFonts w:ascii="Calibri" w:hAnsi="Calibri"/>
          <w:lang w:val="en-US"/>
        </w:rPr>
        <w:t xml:space="preserve"> target. </w:t>
      </w:r>
    </w:p>
    <w:p w:rsidR="00A9239E" w:rsidRPr="00554724" w:rsidRDefault="00A9239E" w:rsidP="000B7F85">
      <w:pPr>
        <w:jc w:val="both"/>
        <w:rPr>
          <w:rFonts w:ascii="Calibri" w:hAnsi="Calibri"/>
          <w:lang w:val="en-US"/>
        </w:rPr>
      </w:pPr>
    </w:p>
    <w:p w:rsidR="003876AC" w:rsidRPr="00554724" w:rsidRDefault="003876AC" w:rsidP="003876AC">
      <w:pPr>
        <w:jc w:val="both"/>
        <w:rPr>
          <w:rFonts w:ascii="Calibri" w:hAnsi="Calibri"/>
          <w:lang w:val="en-US"/>
        </w:rPr>
      </w:pPr>
      <w:r w:rsidRPr="00554724">
        <w:rPr>
          <w:rFonts w:ascii="Calibri" w:hAnsi="Calibri"/>
          <w:b/>
          <w:lang w:val="en-US"/>
        </w:rPr>
        <w:t>Conclusions</w:t>
      </w:r>
    </w:p>
    <w:p w:rsidR="00DF1B3C" w:rsidRPr="00554724" w:rsidRDefault="00DF1B3C" w:rsidP="000B7F85">
      <w:pPr>
        <w:jc w:val="both"/>
        <w:rPr>
          <w:rFonts w:ascii="Calibri" w:hAnsi="Calibri"/>
          <w:lang w:val="en-US"/>
        </w:rPr>
      </w:pPr>
    </w:p>
    <w:p w:rsidR="002674BC" w:rsidRPr="003F6590" w:rsidRDefault="003876AC" w:rsidP="003876AC">
      <w:pPr>
        <w:jc w:val="both"/>
        <w:rPr>
          <w:rFonts w:ascii="Calibri" w:hAnsi="Calibri"/>
          <w:lang w:val="en-US"/>
        </w:rPr>
      </w:pPr>
      <w:r w:rsidRPr="00554724">
        <w:rPr>
          <w:rFonts w:ascii="Calibri" w:hAnsi="Calibri"/>
          <w:lang w:val="en-US"/>
        </w:rPr>
        <w:t>Successful production of clinical scale (i.e. &gt;20 GBq) [</w:t>
      </w:r>
      <w:r w:rsidRPr="00554724">
        <w:rPr>
          <w:rFonts w:ascii="Calibri" w:hAnsi="Calibri"/>
          <w:vertAlign w:val="superscript"/>
          <w:lang w:val="en-US"/>
        </w:rPr>
        <w:t>11</w:t>
      </w:r>
      <w:proofErr w:type="gramStart"/>
      <w:r w:rsidRPr="00554724">
        <w:rPr>
          <w:rFonts w:ascii="Calibri" w:hAnsi="Calibri"/>
          <w:lang w:val="en-US"/>
        </w:rPr>
        <w:t>C]CO</w:t>
      </w:r>
      <w:r w:rsidRPr="00554724">
        <w:rPr>
          <w:rFonts w:ascii="Calibri" w:hAnsi="Calibri"/>
          <w:vertAlign w:val="subscript"/>
          <w:lang w:val="en-US"/>
        </w:rPr>
        <w:t>2</w:t>
      </w:r>
      <w:proofErr w:type="gramEnd"/>
      <w:r w:rsidRPr="00554724">
        <w:rPr>
          <w:rFonts w:ascii="Calibri" w:hAnsi="Calibri"/>
          <w:lang w:val="en-US"/>
        </w:rPr>
        <w:t xml:space="preserve"> has been experimentally demonstrated with proton energies below 8 MeV. </w:t>
      </w:r>
      <w:r w:rsidR="00D05919">
        <w:rPr>
          <w:rFonts w:ascii="Calibri" w:hAnsi="Calibri"/>
          <w:lang w:val="en-US"/>
        </w:rPr>
        <w:t>We also report on the successful irradiation of a 3D printed target. We believe this manufacturing technique will facilitate target design optimization as we strive to increase the yield and molar activity, and escalate the beam current</w:t>
      </w:r>
      <w:r w:rsidR="00DB6751">
        <w:rPr>
          <w:rFonts w:ascii="Calibri" w:hAnsi="Calibri"/>
          <w:lang w:val="en-US"/>
        </w:rPr>
        <w:t>s</w:t>
      </w:r>
      <w:r w:rsidRPr="00554724">
        <w:rPr>
          <w:rFonts w:ascii="Calibri" w:hAnsi="Calibri"/>
          <w:lang w:val="en-US"/>
        </w:rPr>
        <w:t xml:space="preserve">.  </w:t>
      </w:r>
      <w:bookmarkStart w:id="0" w:name="_GoBack"/>
      <w:bookmarkEnd w:id="0"/>
    </w:p>
    <w:sectPr w:rsidR="002674BC" w:rsidRPr="003F6590" w:rsidSect="000C5014">
      <w:type w:val="continuous"/>
      <w:pgSz w:w="11906" w:h="16838" w:code="9"/>
      <w:pgMar w:top="1440" w:right="1440" w:bottom="1440" w:left="180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DB9" w:rsidRDefault="00573DB9" w:rsidP="00A9239E">
      <w:r>
        <w:separator/>
      </w:r>
    </w:p>
  </w:endnote>
  <w:endnote w:type="continuationSeparator" w:id="0">
    <w:p w:rsidR="00573DB9" w:rsidRDefault="00573DB9" w:rsidP="00A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14" w:rsidRPr="00575FB1" w:rsidRDefault="000C5014">
    <w:pPr>
      <w:pStyle w:val="Footer"/>
      <w:rPr>
        <w:rFonts w:ascii="Calibri" w:hAnsi="Calibri"/>
        <w:sz w:val="18"/>
        <w:szCs w:val="18"/>
      </w:rPr>
    </w:pPr>
    <w:r w:rsidRPr="00575FB1">
      <w:rPr>
        <w:rFonts w:ascii="Calibri" w:hAnsi="Calibri"/>
        <w:sz w:val="18"/>
        <w:szCs w:val="18"/>
        <w:vertAlign w:val="superscript"/>
      </w:rPr>
      <w:t>1</w:t>
    </w:r>
    <w:r w:rsidRPr="00575FB1">
      <w:rPr>
        <w:rFonts w:ascii="Calibri" w:hAnsi="Calibri"/>
        <w:sz w:val="18"/>
        <w:szCs w:val="18"/>
      </w:rPr>
      <w:t xml:space="preserve">Corresponding author, </w:t>
    </w:r>
    <w:r w:rsidR="003876AC">
      <w:rPr>
        <w:rFonts w:ascii="Calibri" w:hAnsi="Calibri"/>
        <w:sz w:val="18"/>
        <w:szCs w:val="18"/>
      </w:rPr>
      <w:t>Fredrik.rensei@ge.com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DB9" w:rsidRDefault="00573DB9" w:rsidP="00A9239E">
      <w:r>
        <w:separator/>
      </w:r>
    </w:p>
  </w:footnote>
  <w:footnote w:type="continuationSeparator" w:id="0">
    <w:p w:rsidR="00573DB9" w:rsidRDefault="00573DB9" w:rsidP="00A9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oNotTrackMoves/>
  <w:defaultTabStop w:val="708"/>
  <w:autoHyphenation/>
  <w:consecutiveHyphenLimit w:val="4"/>
  <w:hyphenationZone w:val="425"/>
  <w:doNotHyphenateCap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39E"/>
    <w:rsid w:val="000457B5"/>
    <w:rsid w:val="000576E5"/>
    <w:rsid w:val="00081D57"/>
    <w:rsid w:val="000A6E71"/>
    <w:rsid w:val="000B7F85"/>
    <w:rsid w:val="000C5014"/>
    <w:rsid w:val="000F4D79"/>
    <w:rsid w:val="001049DC"/>
    <w:rsid w:val="00132854"/>
    <w:rsid w:val="00133907"/>
    <w:rsid w:val="001B15D0"/>
    <w:rsid w:val="00245452"/>
    <w:rsid w:val="002674BC"/>
    <w:rsid w:val="003876AC"/>
    <w:rsid w:val="003C18D0"/>
    <w:rsid w:val="003F55B4"/>
    <w:rsid w:val="003F6590"/>
    <w:rsid w:val="004112C8"/>
    <w:rsid w:val="00434B51"/>
    <w:rsid w:val="00464C1C"/>
    <w:rsid w:val="004727CE"/>
    <w:rsid w:val="004C72E1"/>
    <w:rsid w:val="0053271B"/>
    <w:rsid w:val="00554724"/>
    <w:rsid w:val="00573DB9"/>
    <w:rsid w:val="00575FB1"/>
    <w:rsid w:val="00587B02"/>
    <w:rsid w:val="005B0B17"/>
    <w:rsid w:val="005C4232"/>
    <w:rsid w:val="005D5708"/>
    <w:rsid w:val="005F58BC"/>
    <w:rsid w:val="00617025"/>
    <w:rsid w:val="00680696"/>
    <w:rsid w:val="006B6DD9"/>
    <w:rsid w:val="0071137D"/>
    <w:rsid w:val="00714C68"/>
    <w:rsid w:val="00754AC0"/>
    <w:rsid w:val="00802CCA"/>
    <w:rsid w:val="008100A2"/>
    <w:rsid w:val="00852F22"/>
    <w:rsid w:val="00985CD4"/>
    <w:rsid w:val="00997AD2"/>
    <w:rsid w:val="009E2AB3"/>
    <w:rsid w:val="00A070F8"/>
    <w:rsid w:val="00A456E7"/>
    <w:rsid w:val="00A9239E"/>
    <w:rsid w:val="00AA1B5F"/>
    <w:rsid w:val="00B15C1F"/>
    <w:rsid w:val="00B4357A"/>
    <w:rsid w:val="00B46F03"/>
    <w:rsid w:val="00B664A8"/>
    <w:rsid w:val="00C070D5"/>
    <w:rsid w:val="00C545E8"/>
    <w:rsid w:val="00CE3767"/>
    <w:rsid w:val="00CE4E07"/>
    <w:rsid w:val="00D05919"/>
    <w:rsid w:val="00DB6751"/>
    <w:rsid w:val="00DF1B3C"/>
    <w:rsid w:val="00E422AE"/>
    <w:rsid w:val="00F0266C"/>
    <w:rsid w:val="00F14614"/>
    <w:rsid w:val="00F51F6F"/>
    <w:rsid w:val="00F60965"/>
    <w:rsid w:val="00F96958"/>
    <w:rsid w:val="00F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5BEDECED"/>
  <w15:docId w15:val="{ED4DFDC7-5175-42B8-869E-8CE679C3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39E"/>
    <w:rPr>
      <w:rFonts w:ascii="Arial" w:eastAsia="Times New Roman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39E"/>
  </w:style>
  <w:style w:type="character" w:customStyle="1" w:styleId="FootnoteTextChar">
    <w:name w:val="Footnote Text Char"/>
    <w:link w:val="FootnoteText"/>
    <w:uiPriority w:val="99"/>
    <w:semiHidden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unhideWhenUsed/>
    <w:rsid w:val="00A9239E"/>
    <w:rPr>
      <w:vertAlign w:val="superscript"/>
    </w:rPr>
  </w:style>
  <w:style w:type="table" w:styleId="TableGrid">
    <w:name w:val="Table Grid"/>
    <w:basedOn w:val="TableNormal"/>
    <w:uiPriority w:val="59"/>
    <w:rsid w:val="00F1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146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">
    <w:name w:val="Medium Shading 2"/>
    <w:basedOn w:val="TableNormal"/>
    <w:uiPriority w:val="64"/>
    <w:rsid w:val="00F609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014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C6B5-D030-494E-BEAD-A311134D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WTTC</dc:creator>
  <cp:keywords/>
  <cp:lastModifiedBy>Gagnon, Katherine (GE Healthcare)</cp:lastModifiedBy>
  <cp:revision>2</cp:revision>
  <dcterms:created xsi:type="dcterms:W3CDTF">2018-05-18T15:45:00Z</dcterms:created>
  <dcterms:modified xsi:type="dcterms:W3CDTF">2018-05-18T15:45:00Z</dcterms:modified>
</cp:coreProperties>
</file>