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DB00A" w14:textId="77777777" w:rsidR="00A9239E" w:rsidRPr="00575FB1" w:rsidRDefault="00225942" w:rsidP="00A9239E">
      <w:pPr>
        <w:jc w:val="center"/>
        <w:rPr>
          <w:rFonts w:ascii="Calibri" w:hAnsi="Calibri"/>
          <w:sz w:val="24"/>
          <w:szCs w:val="24"/>
          <w:lang w:val="en-US"/>
        </w:rPr>
      </w:pPr>
      <w:r>
        <w:rPr>
          <w:rFonts w:ascii="Calibri" w:hAnsi="Calibri"/>
          <w:b/>
          <w:sz w:val="24"/>
          <w:szCs w:val="24"/>
          <w:lang w:val="en-US"/>
        </w:rPr>
        <w:t>Radiolysis in a Water-Filled Heavy Ion Target</w:t>
      </w:r>
    </w:p>
    <w:p w14:paraId="40E75CF4" w14:textId="77777777" w:rsidR="00A9239E" w:rsidRPr="00575FB1" w:rsidRDefault="00225942" w:rsidP="00A9239E">
      <w:pPr>
        <w:jc w:val="center"/>
        <w:rPr>
          <w:rFonts w:ascii="Calibri" w:hAnsi="Calibri"/>
          <w:lang w:val="en-US"/>
        </w:rPr>
      </w:pPr>
      <w:r>
        <w:rPr>
          <w:rFonts w:ascii="Calibri" w:hAnsi="Calibri"/>
          <w:lang w:val="en-US"/>
        </w:rPr>
        <w:t xml:space="preserve">H. K. </w:t>
      </w:r>
      <w:r w:rsidR="00534A3F">
        <w:rPr>
          <w:rFonts w:ascii="Calibri" w:hAnsi="Calibri"/>
          <w:lang w:val="en-US"/>
        </w:rPr>
        <w:t>Clause</w:t>
      </w:r>
      <w:r w:rsidR="00A9239E" w:rsidRPr="00575FB1">
        <w:rPr>
          <w:rFonts w:ascii="Calibri" w:hAnsi="Calibri"/>
          <w:vertAlign w:val="superscript"/>
          <w:lang w:val="en-US"/>
        </w:rPr>
        <w:t>a</w:t>
      </w:r>
      <w:r w:rsidR="000C5014" w:rsidRPr="00575FB1">
        <w:rPr>
          <w:rFonts w:ascii="Calibri" w:hAnsi="Calibri"/>
          <w:vertAlign w:val="superscript"/>
          <w:lang w:val="en-US"/>
        </w:rPr>
        <w:t>,1</w:t>
      </w:r>
      <w:r>
        <w:rPr>
          <w:rFonts w:ascii="Calibri" w:hAnsi="Calibri"/>
          <w:lang w:val="en-US"/>
        </w:rPr>
        <w:t>,</w:t>
      </w:r>
      <w:r w:rsidR="00A9239E" w:rsidRPr="00575FB1">
        <w:rPr>
          <w:rFonts w:ascii="Calibri" w:hAnsi="Calibri"/>
          <w:lang w:val="en-US"/>
        </w:rPr>
        <w:t xml:space="preserve"> </w:t>
      </w:r>
      <w:r w:rsidR="00534A3F">
        <w:rPr>
          <w:rFonts w:ascii="Calibri" w:hAnsi="Calibri"/>
          <w:lang w:val="en-US"/>
        </w:rPr>
        <w:t>E. P. Abel</w:t>
      </w:r>
      <w:r w:rsidR="00A9239E" w:rsidRPr="00575FB1">
        <w:rPr>
          <w:rFonts w:ascii="Calibri" w:hAnsi="Calibri"/>
          <w:vertAlign w:val="superscript"/>
          <w:lang w:val="en-US"/>
        </w:rPr>
        <w:t>a</w:t>
      </w:r>
      <w:r>
        <w:rPr>
          <w:rFonts w:ascii="Calibri" w:hAnsi="Calibri"/>
          <w:lang w:val="en-US"/>
        </w:rPr>
        <w:t>,</w:t>
      </w:r>
      <w:r w:rsidR="00534A3F">
        <w:rPr>
          <w:rFonts w:ascii="Calibri" w:hAnsi="Calibri"/>
          <w:lang w:val="en-US"/>
        </w:rPr>
        <w:t xml:space="preserve"> G.</w:t>
      </w:r>
      <w:r>
        <w:rPr>
          <w:rFonts w:ascii="Calibri" w:hAnsi="Calibri"/>
          <w:lang w:val="en-US"/>
        </w:rPr>
        <w:t xml:space="preserve"> W. </w:t>
      </w:r>
      <w:proofErr w:type="spellStart"/>
      <w:r w:rsidR="00534A3F">
        <w:rPr>
          <w:rFonts w:ascii="Calibri" w:hAnsi="Calibri"/>
          <w:lang w:val="en-US"/>
        </w:rPr>
        <w:t>Severin</w:t>
      </w:r>
      <w:r w:rsidR="00534A3F">
        <w:rPr>
          <w:rFonts w:ascii="Calibri" w:hAnsi="Calibri"/>
          <w:vertAlign w:val="superscript"/>
          <w:lang w:val="en-US"/>
        </w:rPr>
        <w:t>a</w:t>
      </w:r>
      <w:proofErr w:type="spellEnd"/>
      <w:r w:rsidR="00534A3F">
        <w:rPr>
          <w:rFonts w:ascii="Calibri" w:hAnsi="Calibri"/>
          <w:lang w:val="en-US"/>
        </w:rPr>
        <w:t xml:space="preserve"> </w:t>
      </w:r>
    </w:p>
    <w:p w14:paraId="06E5D715" w14:textId="77777777" w:rsidR="00A9239E" w:rsidRPr="00575FB1" w:rsidRDefault="00A9239E" w:rsidP="00A9239E">
      <w:pPr>
        <w:jc w:val="center"/>
        <w:rPr>
          <w:rFonts w:ascii="Calibri" w:hAnsi="Calibri"/>
          <w:b/>
          <w:lang w:val="en-US"/>
        </w:rPr>
      </w:pPr>
    </w:p>
    <w:p w14:paraId="3A78FD52" w14:textId="77777777" w:rsidR="000C5014" w:rsidRPr="00534A3F" w:rsidRDefault="00A9239E" w:rsidP="00534A3F">
      <w:pPr>
        <w:jc w:val="center"/>
        <w:rPr>
          <w:rFonts w:ascii="Calibri" w:hAnsi="Calibri"/>
          <w:sz w:val="18"/>
          <w:szCs w:val="18"/>
          <w:lang w:val="en-US"/>
        </w:rPr>
      </w:pPr>
      <w:proofErr w:type="spellStart"/>
      <w:r w:rsidRPr="00575FB1">
        <w:rPr>
          <w:rFonts w:ascii="Calibri" w:hAnsi="Calibri"/>
          <w:sz w:val="18"/>
          <w:szCs w:val="18"/>
          <w:vertAlign w:val="superscript"/>
          <w:lang w:val="en-US"/>
        </w:rPr>
        <w:t>a</w:t>
      </w:r>
      <w:r w:rsidR="00534A3F">
        <w:rPr>
          <w:rFonts w:ascii="Calibri" w:hAnsi="Calibri"/>
          <w:sz w:val="18"/>
          <w:szCs w:val="18"/>
          <w:lang w:val="en-US"/>
        </w:rPr>
        <w:t>National</w:t>
      </w:r>
      <w:proofErr w:type="spellEnd"/>
      <w:r w:rsidR="00534A3F">
        <w:rPr>
          <w:rFonts w:ascii="Calibri" w:hAnsi="Calibri"/>
          <w:sz w:val="18"/>
          <w:szCs w:val="18"/>
          <w:lang w:val="en-US"/>
        </w:rPr>
        <w:t xml:space="preserve"> Superconducting Cyclotron Laboratory at Michigan State University</w:t>
      </w:r>
      <w:r w:rsidR="00225942">
        <w:rPr>
          <w:rFonts w:ascii="Calibri" w:hAnsi="Calibri"/>
          <w:sz w:val="18"/>
          <w:szCs w:val="18"/>
          <w:lang w:val="en-US"/>
        </w:rPr>
        <w:t>, East Lansing, MI 48823</w:t>
      </w:r>
    </w:p>
    <w:p w14:paraId="4E9B1193" w14:textId="77777777" w:rsidR="000C5014" w:rsidRPr="00575FB1" w:rsidRDefault="000C5014" w:rsidP="000B7F85">
      <w:pPr>
        <w:jc w:val="center"/>
        <w:rPr>
          <w:rFonts w:ascii="Calibri" w:hAnsi="Calibri"/>
          <w:sz w:val="18"/>
          <w:szCs w:val="18"/>
        </w:rPr>
      </w:pPr>
    </w:p>
    <w:p w14:paraId="2DFE05A0" w14:textId="77777777" w:rsidR="000C5014" w:rsidRPr="00575FB1" w:rsidRDefault="000C5014" w:rsidP="000B7F85">
      <w:pPr>
        <w:jc w:val="center"/>
        <w:rPr>
          <w:rFonts w:ascii="Calibri" w:hAnsi="Calibri"/>
          <w:sz w:val="18"/>
          <w:szCs w:val="18"/>
        </w:rPr>
        <w:sectPr w:rsidR="000C5014" w:rsidRPr="00575FB1" w:rsidSect="000C5014">
          <w:footerReference w:type="default" r:id="rId7"/>
          <w:type w:val="continuous"/>
          <w:pgSz w:w="11906" w:h="16838" w:code="9"/>
          <w:pgMar w:top="1440" w:right="1440" w:bottom="1440" w:left="1800" w:header="709" w:footer="1020" w:gutter="0"/>
          <w:cols w:space="708"/>
          <w:docGrid w:linePitch="360"/>
        </w:sectPr>
      </w:pPr>
    </w:p>
    <w:p w14:paraId="052AA112" w14:textId="77777777" w:rsidR="000B7F85" w:rsidRPr="00575FB1" w:rsidRDefault="000B7F85" w:rsidP="000B7F85">
      <w:pPr>
        <w:jc w:val="both"/>
        <w:rPr>
          <w:rFonts w:ascii="Calibri" w:hAnsi="Calibri"/>
          <w:sz w:val="18"/>
          <w:szCs w:val="18"/>
        </w:rPr>
      </w:pPr>
    </w:p>
    <w:p w14:paraId="4F71F020" w14:textId="77777777" w:rsidR="00B619E9" w:rsidRDefault="00B619E9" w:rsidP="000B7F85">
      <w:pPr>
        <w:jc w:val="both"/>
        <w:rPr>
          <w:rFonts w:ascii="Calibri" w:hAnsi="Calibri"/>
          <w:b/>
          <w:lang w:val="en-US"/>
        </w:rPr>
        <w:sectPr w:rsidR="00B619E9" w:rsidSect="000C5014">
          <w:type w:val="continuous"/>
          <w:pgSz w:w="11906" w:h="16838" w:code="9"/>
          <w:pgMar w:top="1440" w:right="1440" w:bottom="1440" w:left="1800" w:header="709" w:footer="709" w:gutter="0"/>
          <w:cols w:num="2" w:space="708"/>
          <w:docGrid w:linePitch="360"/>
        </w:sectPr>
      </w:pPr>
    </w:p>
    <w:p w14:paraId="6115EB7E" w14:textId="77777777" w:rsidR="00B619E9" w:rsidRDefault="00A9239E" w:rsidP="00E605A7">
      <w:pPr>
        <w:suppressAutoHyphens/>
        <w:jc w:val="both"/>
        <w:rPr>
          <w:rFonts w:ascii="Calibri" w:hAnsi="Calibri"/>
          <w:b/>
          <w:sz w:val="22"/>
          <w:szCs w:val="22"/>
          <w:lang w:val="en-US"/>
        </w:rPr>
      </w:pPr>
      <w:r w:rsidRPr="00575FB1">
        <w:rPr>
          <w:rFonts w:ascii="Calibri" w:hAnsi="Calibri"/>
          <w:b/>
          <w:lang w:val="en-US"/>
        </w:rPr>
        <w:t>Introduction</w:t>
      </w:r>
      <w:r w:rsidRPr="00575FB1">
        <w:rPr>
          <w:rFonts w:ascii="Calibri" w:hAnsi="Calibri"/>
          <w:b/>
          <w:sz w:val="22"/>
          <w:szCs w:val="22"/>
          <w:lang w:val="en-US"/>
        </w:rPr>
        <w:t xml:space="preserve"> </w:t>
      </w:r>
    </w:p>
    <w:p w14:paraId="20F821E2" w14:textId="77777777" w:rsidR="00E605A7" w:rsidRDefault="00E605A7" w:rsidP="00E605A7">
      <w:pPr>
        <w:suppressAutoHyphens/>
        <w:jc w:val="both"/>
        <w:rPr>
          <w:rFonts w:ascii="Calibri" w:hAnsi="Calibri"/>
          <w:lang w:val="en-US"/>
        </w:rPr>
      </w:pPr>
    </w:p>
    <w:p w14:paraId="6A389E29" w14:textId="77777777" w:rsidR="00CE1E8B" w:rsidRDefault="00B619E9" w:rsidP="00E605A7">
      <w:pPr>
        <w:suppressAutoHyphens/>
        <w:jc w:val="both"/>
        <w:rPr>
          <w:rFonts w:ascii="Calibri" w:hAnsi="Calibri"/>
          <w:lang w:val="en-US"/>
        </w:rPr>
      </w:pPr>
      <w:r>
        <w:rPr>
          <w:rFonts w:ascii="Calibri" w:hAnsi="Calibri"/>
          <w:lang w:val="en-US"/>
        </w:rPr>
        <w:t>Currently at the National Superconducting Cyclotron Laboratory (NSCL), reactions of heavy ion beams produce radionuclides that would be valuable in research studies involving biological, chemical, physical, and medicinal processes</w:t>
      </w:r>
      <w:r w:rsidR="0040597A">
        <w:rPr>
          <w:rFonts w:ascii="Calibri" w:hAnsi="Calibri"/>
          <w:lang w:val="en-US"/>
        </w:rPr>
        <w:t>.</w:t>
      </w:r>
      <w:r>
        <w:rPr>
          <w:rFonts w:ascii="Calibri" w:hAnsi="Calibri"/>
          <w:vertAlign w:val="superscript"/>
          <w:lang w:val="en-US"/>
        </w:rPr>
        <w:t>1</w:t>
      </w:r>
      <w:r>
        <w:rPr>
          <w:rFonts w:ascii="Calibri" w:hAnsi="Calibri"/>
          <w:lang w:val="en-US"/>
        </w:rPr>
        <w:t xml:space="preserve"> </w:t>
      </w:r>
      <w:r w:rsidR="00F67A56">
        <w:rPr>
          <w:rFonts w:ascii="Calibri" w:hAnsi="Calibri"/>
          <w:lang w:val="en-US"/>
        </w:rPr>
        <w:t>However, only a small portion of the produced radionuclides are utilized, leaving a majority of the beam to be deposited into a solid tungsten target to decay away</w:t>
      </w:r>
      <w:r w:rsidR="0040597A">
        <w:rPr>
          <w:rFonts w:ascii="Calibri" w:hAnsi="Calibri"/>
          <w:lang w:val="en-US"/>
        </w:rPr>
        <w:t>.</w:t>
      </w:r>
      <w:r w:rsidR="00F67A56">
        <w:rPr>
          <w:rFonts w:ascii="Calibri" w:hAnsi="Calibri"/>
          <w:vertAlign w:val="superscript"/>
          <w:lang w:val="en-US"/>
        </w:rPr>
        <w:t>2</w:t>
      </w:r>
      <w:r w:rsidR="00F67A56">
        <w:rPr>
          <w:rFonts w:ascii="Calibri" w:hAnsi="Calibri"/>
          <w:lang w:val="en-US"/>
        </w:rPr>
        <w:t xml:space="preserve"> By replacing the solid target with a water-filled beam blocker</w:t>
      </w:r>
      <w:r w:rsidR="00413B7C">
        <w:rPr>
          <w:rFonts w:ascii="Calibri" w:hAnsi="Calibri"/>
          <w:lang w:val="en-US"/>
        </w:rPr>
        <w:t xml:space="preserve"> and adding a water system</w:t>
      </w:r>
      <w:r w:rsidR="00F67A56">
        <w:rPr>
          <w:rFonts w:ascii="Calibri" w:hAnsi="Calibri"/>
          <w:lang w:val="en-US"/>
        </w:rPr>
        <w:t xml:space="preserve">, </w:t>
      </w:r>
      <w:r w:rsidR="00CE1E8B">
        <w:rPr>
          <w:rFonts w:ascii="Calibri" w:hAnsi="Calibri"/>
          <w:lang w:val="en-US"/>
        </w:rPr>
        <w:t xml:space="preserve">there is a possibility to harvest radionuclides from the primary beam to use for applications in many research fields. </w:t>
      </w:r>
    </w:p>
    <w:p w14:paraId="19187A8A" w14:textId="77777777" w:rsidR="00CE1E8B" w:rsidRDefault="00CE1E8B" w:rsidP="00E605A7">
      <w:pPr>
        <w:suppressAutoHyphens/>
        <w:jc w:val="both"/>
        <w:rPr>
          <w:rFonts w:ascii="Calibri" w:hAnsi="Calibri"/>
          <w:lang w:val="en-US"/>
        </w:rPr>
      </w:pPr>
    </w:p>
    <w:p w14:paraId="5B21CC55" w14:textId="77777777" w:rsidR="00A9239E" w:rsidRPr="004E79AA" w:rsidRDefault="00CE1E8B" w:rsidP="00E605A7">
      <w:pPr>
        <w:suppressAutoHyphens/>
        <w:jc w:val="both"/>
        <w:rPr>
          <w:rFonts w:ascii="Calibri" w:hAnsi="Calibri" w:cs="Times New Roman"/>
        </w:rPr>
      </w:pPr>
      <w:r>
        <w:rPr>
          <w:rFonts w:ascii="Calibri" w:hAnsi="Calibri"/>
          <w:lang w:val="en-US"/>
        </w:rPr>
        <w:t xml:space="preserve">The water-filled beam blocker is made out of a titanium alloy (Ti6Al4V) which is known for its resistance to corrosion that is expected due to the irradiation of water. When water is irradiated, energy is deposited along the radiation track causing radiolysis, or the break-up of water molecules. This results in the formation of free radicals and other molecular species including </w:t>
      </w:r>
      <w:r w:rsidRPr="004E79AA">
        <w:rPr>
          <w:rFonts w:ascii="Calibri" w:hAnsi="Calibri"/>
        </w:rPr>
        <w:t>∙</w:t>
      </w:r>
      <w:r w:rsidRPr="004E79AA">
        <w:rPr>
          <w:rFonts w:ascii="Calibri" w:hAnsi="Calibri" w:cs="Times New Roman"/>
        </w:rPr>
        <w:t xml:space="preserve">OH, </w:t>
      </w:r>
      <w:r w:rsidRPr="004E79AA">
        <w:rPr>
          <w:rFonts w:ascii="Calibri" w:hAnsi="Calibri"/>
        </w:rPr>
        <w:t>∙</w:t>
      </w:r>
      <w:r w:rsidRPr="004E79AA">
        <w:rPr>
          <w:rFonts w:ascii="Calibri" w:hAnsi="Calibri" w:cs="Times New Roman"/>
        </w:rPr>
        <w:t>H, H</w:t>
      </w:r>
      <w:r w:rsidRPr="004E79AA">
        <w:rPr>
          <w:rFonts w:ascii="Calibri" w:hAnsi="Calibri" w:cs="Times New Roman"/>
          <w:vertAlign w:val="superscript"/>
        </w:rPr>
        <w:t>+</w:t>
      </w:r>
      <w:r w:rsidRPr="004E79AA">
        <w:rPr>
          <w:rFonts w:ascii="Calibri" w:hAnsi="Calibri" w:cs="Times New Roman"/>
        </w:rPr>
        <w:t>, OH</w:t>
      </w:r>
      <w:r w:rsidRPr="004E79AA">
        <w:rPr>
          <w:rFonts w:ascii="Calibri" w:hAnsi="Calibri" w:cs="Times New Roman"/>
          <w:vertAlign w:val="superscript"/>
        </w:rPr>
        <w:t>-</w:t>
      </w:r>
      <w:r w:rsidRPr="004E79AA">
        <w:rPr>
          <w:rFonts w:ascii="Calibri" w:hAnsi="Calibri" w:cs="Times New Roman"/>
        </w:rPr>
        <w:t>, H</w:t>
      </w:r>
      <w:r w:rsidRPr="004E79AA">
        <w:rPr>
          <w:rFonts w:ascii="Calibri" w:hAnsi="Calibri" w:cs="Times New Roman"/>
          <w:vertAlign w:val="subscript"/>
        </w:rPr>
        <w:t>2</w:t>
      </w:r>
      <w:r w:rsidRPr="004E79AA">
        <w:rPr>
          <w:rFonts w:ascii="Calibri" w:hAnsi="Calibri" w:cs="Times New Roman"/>
        </w:rPr>
        <w:t>, and H</w:t>
      </w:r>
      <w:r w:rsidRPr="004E79AA">
        <w:rPr>
          <w:rFonts w:ascii="Calibri" w:hAnsi="Calibri" w:cs="Times New Roman"/>
          <w:vertAlign w:val="subscript"/>
        </w:rPr>
        <w:t>2</w:t>
      </w:r>
      <w:r w:rsidRPr="004E79AA">
        <w:rPr>
          <w:rFonts w:ascii="Calibri" w:hAnsi="Calibri" w:cs="Times New Roman"/>
        </w:rPr>
        <w:t>O</w:t>
      </w:r>
      <w:r w:rsidRPr="004E79AA">
        <w:rPr>
          <w:rFonts w:ascii="Calibri" w:hAnsi="Calibri" w:cs="Times New Roman"/>
          <w:vertAlign w:val="subscript"/>
        </w:rPr>
        <w:t>2</w:t>
      </w:r>
      <w:r w:rsidRPr="004E79AA">
        <w:rPr>
          <w:rFonts w:ascii="Calibri" w:hAnsi="Calibri" w:cs="Times New Roman"/>
        </w:rPr>
        <w:t xml:space="preserve">. As irradiation continues, the radiolysis tracks form closer together which allow for the recombination of these species. </w:t>
      </w:r>
      <w:r w:rsidR="00413B7C" w:rsidRPr="004E79AA">
        <w:rPr>
          <w:rFonts w:ascii="Calibri" w:hAnsi="Calibri" w:cs="Times New Roman"/>
        </w:rPr>
        <w:t>However, H</w:t>
      </w:r>
      <w:r w:rsidR="00413B7C" w:rsidRPr="004E79AA">
        <w:rPr>
          <w:rFonts w:ascii="Calibri" w:hAnsi="Calibri" w:cs="Times New Roman"/>
          <w:vertAlign w:val="subscript"/>
        </w:rPr>
        <w:t>2</w:t>
      </w:r>
      <w:r w:rsidR="00413B7C" w:rsidRPr="004E79AA">
        <w:rPr>
          <w:rFonts w:ascii="Calibri" w:hAnsi="Calibri" w:cs="Times New Roman"/>
        </w:rPr>
        <w:t>O</w:t>
      </w:r>
      <w:r w:rsidR="00413B7C" w:rsidRPr="004E79AA">
        <w:rPr>
          <w:rFonts w:ascii="Calibri" w:hAnsi="Calibri" w:cs="Times New Roman"/>
          <w:vertAlign w:val="subscript"/>
        </w:rPr>
        <w:t xml:space="preserve">2 </w:t>
      </w:r>
      <w:r w:rsidR="00413B7C" w:rsidRPr="004E79AA">
        <w:rPr>
          <w:rFonts w:ascii="Calibri" w:hAnsi="Calibri" w:cs="Times New Roman"/>
        </w:rPr>
        <w:t>does not recombine and is distributed throughout the system which can be damaging to the system and must be mitigated. In addition, the production of H</w:t>
      </w:r>
      <w:r w:rsidR="00413B7C" w:rsidRPr="004E79AA">
        <w:rPr>
          <w:rFonts w:ascii="Calibri" w:hAnsi="Calibri" w:cs="Times New Roman"/>
          <w:vertAlign w:val="subscript"/>
        </w:rPr>
        <w:t>2</w:t>
      </w:r>
      <w:r w:rsidR="00413B7C" w:rsidRPr="004E79AA">
        <w:rPr>
          <w:rFonts w:ascii="Calibri" w:hAnsi="Calibri" w:cs="Times New Roman"/>
        </w:rPr>
        <w:t xml:space="preserve"> gas dissolved in the water could lead to a buildup of pressure which must also be kept to moderation</w:t>
      </w:r>
      <w:r w:rsidR="0040597A">
        <w:rPr>
          <w:rFonts w:ascii="Calibri" w:hAnsi="Calibri" w:cs="Times New Roman"/>
        </w:rPr>
        <w:t>.</w:t>
      </w:r>
      <w:r w:rsidR="00413B7C" w:rsidRPr="004E79AA">
        <w:rPr>
          <w:rFonts w:ascii="Calibri" w:hAnsi="Calibri" w:cs="Times New Roman"/>
          <w:vertAlign w:val="superscript"/>
        </w:rPr>
        <w:t>3</w:t>
      </w:r>
    </w:p>
    <w:p w14:paraId="3AA8CEAB" w14:textId="77777777" w:rsidR="00413B7C" w:rsidRPr="004E79AA" w:rsidRDefault="00413B7C" w:rsidP="00E605A7">
      <w:pPr>
        <w:suppressAutoHyphens/>
        <w:jc w:val="both"/>
        <w:rPr>
          <w:rFonts w:ascii="Calibri" w:hAnsi="Calibri" w:cs="Times New Roman"/>
        </w:rPr>
      </w:pPr>
    </w:p>
    <w:p w14:paraId="790D3E46" w14:textId="77777777" w:rsidR="00413B7C" w:rsidRPr="00413B7C" w:rsidRDefault="000B6775" w:rsidP="00E605A7">
      <w:pPr>
        <w:suppressAutoHyphens/>
        <w:jc w:val="both"/>
        <w:rPr>
          <w:rFonts w:ascii="Calibri" w:hAnsi="Calibri"/>
          <w:lang w:val="en-US"/>
        </w:rPr>
      </w:pPr>
      <w:r>
        <w:rPr>
          <w:rFonts w:ascii="Calibri" w:hAnsi="Calibri"/>
          <w:lang w:val="en-US"/>
        </w:rPr>
        <w:t xml:space="preserve">An experiment was designed to test the stability and resistivity of the chosen titanium alloy under the conditions caused by irradiation while also having an opportunity to study the state of the water system under these conditions. </w:t>
      </w:r>
    </w:p>
    <w:p w14:paraId="0C1B0090" w14:textId="5433D1C4" w:rsidR="00CE1E8B" w:rsidRPr="00575FB1" w:rsidRDefault="00F53C7E" w:rsidP="00E605A7">
      <w:pPr>
        <w:suppressAutoHyphens/>
        <w:jc w:val="both"/>
        <w:rPr>
          <w:rFonts w:ascii="Calibri" w:hAnsi="Calibri"/>
          <w:lang w:val="en-US"/>
        </w:rPr>
      </w:pPr>
      <w:r>
        <w:rPr>
          <w:noProof/>
        </w:rPr>
        <w:drawing>
          <wp:anchor distT="0" distB="0" distL="114300" distR="114300" simplePos="0" relativeHeight="251654144" behindDoc="0" locked="0" layoutInCell="1" allowOverlap="1" wp14:anchorId="7852186B" wp14:editId="72738149">
            <wp:simplePos x="0" y="0"/>
            <wp:positionH relativeFrom="column">
              <wp:posOffset>3381375</wp:posOffset>
            </wp:positionH>
            <wp:positionV relativeFrom="paragraph">
              <wp:posOffset>116840</wp:posOffset>
            </wp:positionV>
            <wp:extent cx="2124075" cy="1647825"/>
            <wp:effectExtent l="0" t="0" r="0" b="0"/>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l="6627" b="1639"/>
                    <a:stretch>
                      <a:fillRect/>
                    </a:stretch>
                  </pic:blipFill>
                  <pic:spPr bwMode="auto">
                    <a:xfrm>
                      <a:off x="0" y="0"/>
                      <a:ext cx="212407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154FB" w14:textId="77777777" w:rsidR="00A9239E" w:rsidRPr="00575FB1" w:rsidRDefault="004E79AA" w:rsidP="00E605A7">
      <w:pPr>
        <w:suppressAutoHyphens/>
        <w:jc w:val="both"/>
        <w:rPr>
          <w:rFonts w:ascii="Calibri" w:hAnsi="Calibri"/>
          <w:b/>
          <w:sz w:val="22"/>
          <w:szCs w:val="22"/>
          <w:lang w:val="en-US"/>
        </w:rPr>
      </w:pPr>
      <w:r>
        <w:rPr>
          <w:rFonts w:ascii="Calibri" w:hAnsi="Calibri"/>
          <w:b/>
          <w:lang w:val="en-US"/>
        </w:rPr>
        <w:t xml:space="preserve">Material and Methods </w:t>
      </w:r>
    </w:p>
    <w:p w14:paraId="7F55CB4A" w14:textId="77777777" w:rsidR="00E605A7" w:rsidRDefault="00E605A7" w:rsidP="00E605A7">
      <w:pPr>
        <w:suppressAutoHyphens/>
        <w:jc w:val="both"/>
        <w:rPr>
          <w:rFonts w:ascii="Calibri" w:hAnsi="Calibri"/>
          <w:lang w:val="en-US"/>
        </w:rPr>
      </w:pPr>
    </w:p>
    <w:p w14:paraId="1964D93D" w14:textId="77777777" w:rsidR="004F56AB" w:rsidRDefault="000B6775" w:rsidP="00E605A7">
      <w:pPr>
        <w:suppressAutoHyphens/>
        <w:jc w:val="both"/>
        <w:rPr>
          <w:rFonts w:ascii="Calibri" w:hAnsi="Calibri"/>
          <w:lang w:val="en-US"/>
        </w:rPr>
      </w:pPr>
      <w:r>
        <w:rPr>
          <w:rFonts w:ascii="Calibri" w:hAnsi="Calibri"/>
          <w:lang w:val="en-US"/>
        </w:rPr>
        <w:t xml:space="preserve">In this experiment, a thin (700 </w:t>
      </w:r>
      <w:proofErr w:type="spellStart"/>
      <w:r>
        <w:rPr>
          <w:rFonts w:ascii="Times New Roman" w:hAnsi="Times New Roman" w:cs="Times New Roman"/>
          <w:lang w:val="en-US"/>
        </w:rPr>
        <w:t>μ</w:t>
      </w:r>
      <w:r>
        <w:rPr>
          <w:rFonts w:ascii="Calibri" w:hAnsi="Calibri"/>
          <w:lang w:val="en-US"/>
        </w:rPr>
        <w:t>m</w:t>
      </w:r>
      <w:proofErr w:type="spellEnd"/>
      <w:r>
        <w:rPr>
          <w:rFonts w:ascii="Calibri" w:hAnsi="Calibri"/>
          <w:lang w:val="en-US"/>
        </w:rPr>
        <w:t>) disk of Ti6Al4V was placed in a target</w:t>
      </w:r>
      <w:r w:rsidR="00926016">
        <w:rPr>
          <w:rFonts w:ascii="Calibri" w:hAnsi="Calibri"/>
          <w:lang w:val="en-US"/>
        </w:rPr>
        <w:t xml:space="preserve"> (Figure 1)</w:t>
      </w:r>
      <w:r>
        <w:rPr>
          <w:rFonts w:ascii="Calibri" w:hAnsi="Calibri"/>
          <w:lang w:val="en-US"/>
        </w:rPr>
        <w:t xml:space="preserve"> made of high-density polyethylene which is also known for chemical resistance</w:t>
      </w:r>
      <w:r w:rsidR="0040597A">
        <w:rPr>
          <w:rFonts w:ascii="Calibri" w:hAnsi="Calibri"/>
          <w:lang w:val="en-US"/>
        </w:rPr>
        <w:t>.</w:t>
      </w:r>
      <w:r w:rsidR="00A36CBF">
        <w:rPr>
          <w:rFonts w:ascii="Calibri" w:hAnsi="Calibri"/>
          <w:vertAlign w:val="superscript"/>
          <w:lang w:val="en-US"/>
        </w:rPr>
        <w:t>4</w:t>
      </w:r>
      <w:r>
        <w:rPr>
          <w:rFonts w:ascii="Calibri" w:hAnsi="Calibri"/>
          <w:lang w:val="en-US"/>
        </w:rPr>
        <w:t xml:space="preserve"> This target window was a replacement for the water-filled beam blocker to ensure that the material will be sufficient to move forward with future experimentation. The titanium window was irradiated by a </w:t>
      </w:r>
      <w:r>
        <w:rPr>
          <w:rFonts w:ascii="Calibri" w:hAnsi="Calibri"/>
          <w:vertAlign w:val="superscript"/>
          <w:lang w:val="en-US"/>
        </w:rPr>
        <w:t>40</w:t>
      </w:r>
      <w:r>
        <w:rPr>
          <w:rFonts w:ascii="Calibri" w:hAnsi="Calibri"/>
          <w:lang w:val="en-US"/>
        </w:rPr>
        <w:t>Ca</w:t>
      </w:r>
      <w:r>
        <w:rPr>
          <w:rFonts w:ascii="Calibri" w:hAnsi="Calibri"/>
          <w:vertAlign w:val="superscript"/>
          <w:lang w:val="en-US"/>
        </w:rPr>
        <w:t>20+</w:t>
      </w:r>
      <w:r>
        <w:rPr>
          <w:rFonts w:ascii="Calibri" w:hAnsi="Calibri"/>
          <w:lang w:val="en-US"/>
        </w:rPr>
        <w:t xml:space="preserve"> beam with 140 MeV/u energy at both 1 W and 3 W of beam power. </w:t>
      </w:r>
    </w:p>
    <w:p w14:paraId="4CEEAD3C" w14:textId="2749DFC3" w:rsidR="004F56AB" w:rsidRDefault="00F53C7E" w:rsidP="00E605A7">
      <w:pPr>
        <w:suppressAutoHyphens/>
        <w:jc w:val="both"/>
        <w:rPr>
          <w:rFonts w:ascii="Calibri" w:hAnsi="Calibri"/>
          <w:lang w:val="en-US"/>
        </w:rPr>
      </w:pPr>
      <w:r>
        <w:rPr>
          <w:noProof/>
        </w:rPr>
        <mc:AlternateContent>
          <mc:Choice Requires="wps">
            <w:drawing>
              <wp:anchor distT="45720" distB="45720" distL="114300" distR="114300" simplePos="0" relativeHeight="251655168" behindDoc="0" locked="0" layoutInCell="1" allowOverlap="1" wp14:anchorId="007FB577" wp14:editId="4BAC2D12">
                <wp:simplePos x="0" y="0"/>
                <wp:positionH relativeFrom="column">
                  <wp:posOffset>3067050</wp:posOffset>
                </wp:positionH>
                <wp:positionV relativeFrom="paragraph">
                  <wp:posOffset>17780</wp:posOffset>
                </wp:positionV>
                <wp:extent cx="2724150" cy="33972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E5367" w14:textId="77777777" w:rsidR="004E79AA" w:rsidRPr="004E79AA" w:rsidRDefault="004E79AA" w:rsidP="009A3F64">
                            <w:pPr>
                              <w:ind w:left="330"/>
                              <w:rPr>
                                <w:rFonts w:ascii="Calibri" w:hAnsi="Calibri"/>
                                <w:sz w:val="16"/>
                                <w:szCs w:val="16"/>
                              </w:rPr>
                            </w:pPr>
                            <w:r w:rsidRPr="004E79AA">
                              <w:rPr>
                                <w:rFonts w:ascii="Calibri" w:hAnsi="Calibri"/>
                                <w:sz w:val="16"/>
                                <w:szCs w:val="16"/>
                              </w:rPr>
                              <w:t xml:space="preserve">Figure 1: </w:t>
                            </w:r>
                            <w:r w:rsidRPr="004E79AA">
                              <w:rPr>
                                <w:rFonts w:ascii="Calibri" w:hAnsi="Calibri" w:cs="Times New Roman"/>
                                <w:sz w:val="16"/>
                                <w:szCs w:val="16"/>
                              </w:rPr>
                              <w:t xml:space="preserve">A drawing of the titanium target and housing </w:t>
                            </w:r>
                            <w:r w:rsidR="009A3F64">
                              <w:rPr>
                                <w:rFonts w:ascii="Calibri" w:hAnsi="Calibri" w:cs="Times New Roman"/>
                                <w:sz w:val="16"/>
                                <w:szCs w:val="16"/>
                              </w:rPr>
                              <w:t xml:space="preserve">                                                                                             </w:t>
                            </w:r>
                            <w:r w:rsidRPr="004E79AA">
                              <w:rPr>
                                <w:rFonts w:ascii="Calibri" w:hAnsi="Calibri" w:cs="Times New Roman"/>
                                <w:sz w:val="16"/>
                                <w:szCs w:val="16"/>
                              </w:rPr>
                              <w:t>used in the experiment.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7FB577" id="_x0000_t202" coordsize="21600,21600" o:spt="202" path="m,l,21600r21600,l21600,xe">
                <v:stroke joinstyle="miter"/>
                <v:path gradientshapeok="t" o:connecttype="rect"/>
              </v:shapetype>
              <v:shape id="Text Box 2" o:spid="_x0000_s1026" type="#_x0000_t202" style="position:absolute;left:0;text-align:left;margin-left:241.5pt;margin-top:1.4pt;width:214.5pt;height:26.7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rnNswIAALk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" filled="f" stroked="f">
                <v:textbox style="mso-fit-shape-to-text:t">
                  <w:txbxContent>
                    <w:p w14:paraId="5CDE5367" w14:textId="77777777" w:rsidR="004E79AA" w:rsidRPr="004E79AA" w:rsidRDefault="004E79AA" w:rsidP="009A3F64">
                      <w:pPr>
                        <w:ind w:left="330"/>
                        <w:rPr>
                          <w:rFonts w:ascii="Calibri" w:hAnsi="Calibri"/>
                          <w:sz w:val="16"/>
                          <w:szCs w:val="16"/>
                        </w:rPr>
                      </w:pPr>
                      <w:r w:rsidRPr="004E79AA">
                        <w:rPr>
                          <w:rFonts w:ascii="Calibri" w:hAnsi="Calibri"/>
                          <w:sz w:val="16"/>
                          <w:szCs w:val="16"/>
                        </w:rPr>
                        <w:t xml:space="preserve">Figure 1: </w:t>
                      </w:r>
                      <w:r w:rsidRPr="004E79AA">
                        <w:rPr>
                          <w:rFonts w:ascii="Calibri" w:hAnsi="Calibri" w:cs="Times New Roman"/>
                          <w:sz w:val="16"/>
                          <w:szCs w:val="16"/>
                        </w:rPr>
                        <w:t xml:space="preserve">A drawing of the titanium target and housing </w:t>
                      </w:r>
                      <w:r w:rsidR="009A3F64">
                        <w:rPr>
                          <w:rFonts w:ascii="Calibri" w:hAnsi="Calibri" w:cs="Times New Roman"/>
                          <w:sz w:val="16"/>
                          <w:szCs w:val="16"/>
                        </w:rPr>
                        <w:t xml:space="preserve">                                                                                             </w:t>
                      </w:r>
                      <w:r w:rsidRPr="004E79AA">
                        <w:rPr>
                          <w:rFonts w:ascii="Calibri" w:hAnsi="Calibri" w:cs="Times New Roman"/>
                          <w:sz w:val="16"/>
                          <w:szCs w:val="16"/>
                        </w:rPr>
                        <w:t>used in the experiment.</w:t>
                      </w:r>
                    </w:p>
                  </w:txbxContent>
                </v:textbox>
                <w10:wrap type="square"/>
              </v:shape>
            </w:pict>
          </mc:Fallback>
        </mc:AlternateContent>
      </w:r>
    </w:p>
    <w:p w14:paraId="3A684888" w14:textId="662E68BE" w:rsidR="00BC3320" w:rsidRPr="00BC3320" w:rsidRDefault="00F53C7E" w:rsidP="00BC3320">
      <w:pPr>
        <w:suppressAutoHyphens/>
        <w:jc w:val="both"/>
        <w:rPr>
          <w:rFonts w:ascii="Calibri" w:hAnsi="Calibri"/>
          <w:lang w:val="en-US"/>
        </w:rPr>
      </w:pPr>
      <w:r>
        <w:rPr>
          <w:noProof/>
          <w:lang w:val="en-US" w:eastAsia="en-US"/>
        </w:rPr>
        <mc:AlternateContent>
          <mc:Choice Requires="wps">
            <w:drawing>
              <wp:anchor distT="45720" distB="45720" distL="114300" distR="114300" simplePos="0" relativeHeight="251657216" behindDoc="0" locked="0" layoutInCell="1" allowOverlap="1" wp14:anchorId="3E613B9F" wp14:editId="40E529D3">
                <wp:simplePos x="0" y="0"/>
                <wp:positionH relativeFrom="column">
                  <wp:posOffset>-76200</wp:posOffset>
                </wp:positionH>
                <wp:positionV relativeFrom="paragraph">
                  <wp:posOffset>2193290</wp:posOffset>
                </wp:positionV>
                <wp:extent cx="2705100" cy="501015"/>
                <wp:effectExtent l="0" t="381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369D8" w14:textId="77777777" w:rsidR="004E79AA" w:rsidRPr="004E79AA" w:rsidRDefault="004E79AA" w:rsidP="004E79AA">
                            <w:pPr>
                              <w:rPr>
                                <w:rFonts w:ascii="Calibri" w:hAnsi="Calibri" w:cs="Times New Roman"/>
                                <w:sz w:val="16"/>
                                <w:szCs w:val="16"/>
                              </w:rPr>
                            </w:pPr>
                            <w:r w:rsidRPr="004E79AA">
                              <w:rPr>
                                <w:rFonts w:ascii="Calibri" w:hAnsi="Calibri"/>
                                <w:sz w:val="16"/>
                                <w:szCs w:val="16"/>
                              </w:rPr>
                              <w:t xml:space="preserve">Figure </w:t>
                            </w:r>
                            <w:r>
                              <w:rPr>
                                <w:rFonts w:ascii="Calibri" w:hAnsi="Calibri"/>
                                <w:sz w:val="16"/>
                                <w:szCs w:val="16"/>
                              </w:rPr>
                              <w:t>2</w:t>
                            </w:r>
                            <w:r w:rsidRPr="004E79AA">
                              <w:rPr>
                                <w:rFonts w:ascii="Calibri" w:hAnsi="Calibri"/>
                                <w:sz w:val="16"/>
                                <w:szCs w:val="16"/>
                              </w:rPr>
                              <w:t xml:space="preserve">: </w:t>
                            </w:r>
                            <w:r w:rsidRPr="004E79AA">
                              <w:rPr>
                                <w:rFonts w:ascii="Calibri" w:hAnsi="Calibri" w:cs="Times New Roman"/>
                                <w:sz w:val="16"/>
                                <w:szCs w:val="16"/>
                              </w:rPr>
                              <w:t xml:space="preserve">A schematic of the harvesting equipment used in the experiment. Green lines depict the flow of water, with red </w:t>
                            </w:r>
                            <w:r>
                              <w:rPr>
                                <w:rFonts w:ascii="Calibri" w:hAnsi="Calibri" w:cs="Times New Roman"/>
                                <w:sz w:val="16"/>
                                <w:szCs w:val="16"/>
                              </w:rPr>
                              <w:t>s</w:t>
                            </w:r>
                            <w:r w:rsidRPr="004E79AA">
                              <w:rPr>
                                <w:rFonts w:ascii="Calibri" w:hAnsi="Calibri" w:cs="Times New Roman"/>
                                <w:sz w:val="16"/>
                                <w:szCs w:val="16"/>
                              </w:rPr>
                              <w:t>howing the flow of gas.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13B9F" id="_x0000_s1027" type="#_x0000_t202" style="position:absolute;left:0;text-align:left;margin-left:-6pt;margin-top:172.7pt;width:213pt;height:39.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w5twIAAMA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" filled="f" stroked="f">
                <v:textbox>
                  <w:txbxContent>
                    <w:p w14:paraId="247369D8" w14:textId="77777777" w:rsidR="004E79AA" w:rsidRPr="004E79AA" w:rsidRDefault="004E79AA" w:rsidP="004E79AA">
                      <w:pPr>
                        <w:rPr>
                          <w:rFonts w:ascii="Calibri" w:hAnsi="Calibri" w:cs="Times New Roman"/>
                          <w:sz w:val="16"/>
                          <w:szCs w:val="16"/>
                        </w:rPr>
                      </w:pPr>
                      <w:r w:rsidRPr="004E79AA">
                        <w:rPr>
                          <w:rFonts w:ascii="Calibri" w:hAnsi="Calibri"/>
                          <w:sz w:val="16"/>
                          <w:szCs w:val="16"/>
                        </w:rPr>
                        <w:t xml:space="preserve">Figure </w:t>
                      </w:r>
                      <w:r>
                        <w:rPr>
                          <w:rFonts w:ascii="Calibri" w:hAnsi="Calibri"/>
                          <w:sz w:val="16"/>
                          <w:szCs w:val="16"/>
                        </w:rPr>
                        <w:t>2</w:t>
                      </w:r>
                      <w:r w:rsidRPr="004E79AA">
                        <w:rPr>
                          <w:rFonts w:ascii="Calibri" w:hAnsi="Calibri"/>
                          <w:sz w:val="16"/>
                          <w:szCs w:val="16"/>
                        </w:rPr>
                        <w:t xml:space="preserve">: </w:t>
                      </w:r>
                      <w:r w:rsidRPr="004E79AA">
                        <w:rPr>
                          <w:rFonts w:ascii="Calibri" w:hAnsi="Calibri" w:cs="Times New Roman"/>
                          <w:sz w:val="16"/>
                          <w:szCs w:val="16"/>
                        </w:rPr>
                        <w:t xml:space="preserve">A schematic of the harvesting equipment used in the experiment. Green lines depict the flow of water, with red </w:t>
                      </w:r>
                      <w:r>
                        <w:rPr>
                          <w:rFonts w:ascii="Calibri" w:hAnsi="Calibri" w:cs="Times New Roman"/>
                          <w:sz w:val="16"/>
                          <w:szCs w:val="16"/>
                        </w:rPr>
                        <w:t>s</w:t>
                      </w:r>
                      <w:r w:rsidRPr="004E79AA">
                        <w:rPr>
                          <w:rFonts w:ascii="Calibri" w:hAnsi="Calibri" w:cs="Times New Roman"/>
                          <w:sz w:val="16"/>
                          <w:szCs w:val="16"/>
                        </w:rPr>
                        <w:t>howing the flow of gas.</w:t>
                      </w:r>
                    </w:p>
                  </w:txbxContent>
                </v:textbox>
                <w10:wrap type="square"/>
              </v:shape>
            </w:pict>
          </mc:Fallback>
        </mc:AlternateContent>
      </w:r>
      <w:r>
        <w:rPr>
          <w:noProof/>
        </w:rPr>
        <w:drawing>
          <wp:anchor distT="0" distB="0" distL="114300" distR="114300" simplePos="0" relativeHeight="251656192" behindDoc="0" locked="0" layoutInCell="1" allowOverlap="1" wp14:anchorId="33390EBE" wp14:editId="680F3600">
            <wp:simplePos x="0" y="0"/>
            <wp:positionH relativeFrom="column">
              <wp:posOffset>0</wp:posOffset>
            </wp:positionH>
            <wp:positionV relativeFrom="paragraph">
              <wp:posOffset>107315</wp:posOffset>
            </wp:positionV>
            <wp:extent cx="2657475" cy="21050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r="19849"/>
                    <a:stretch>
                      <a:fillRect/>
                    </a:stretch>
                  </pic:blipFill>
                  <pic:spPr bwMode="auto">
                    <a:xfrm>
                      <a:off x="0" y="0"/>
                      <a:ext cx="26574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3320">
        <w:rPr>
          <w:rFonts w:ascii="Calibri" w:hAnsi="Calibri"/>
          <w:lang w:val="en-US"/>
        </w:rPr>
        <w:t>I</w:t>
      </w:r>
      <w:r w:rsidR="00BC3320" w:rsidRPr="00BC3320">
        <w:rPr>
          <w:rFonts w:ascii="Calibri" w:hAnsi="Calibri"/>
          <w:lang w:val="en-US"/>
        </w:rPr>
        <w:t>n addition to the titanium window, an attached water system (Figure 2) that included probes and sensors that were plumbed together was used to continuously measure and record the state of the water. A conductivity probe and pH probe were used to detect degradation products and the formation of radiolysis products, respectively. A hydrogen peroxide degrader made of platinized titanium mesh was used to break down H</w:t>
      </w:r>
      <w:r w:rsidR="00BC3320" w:rsidRPr="00BC3320">
        <w:rPr>
          <w:rFonts w:ascii="Calibri" w:hAnsi="Calibri"/>
          <w:vertAlign w:val="subscript"/>
          <w:lang w:val="en-US"/>
        </w:rPr>
        <w:t>2</w:t>
      </w:r>
      <w:r w:rsidR="00BC3320" w:rsidRPr="00BC3320">
        <w:rPr>
          <w:rFonts w:ascii="Calibri" w:hAnsi="Calibri"/>
          <w:lang w:val="en-US"/>
        </w:rPr>
        <w:t>O</w:t>
      </w:r>
      <w:r w:rsidR="00BC3320" w:rsidRPr="00BC3320">
        <w:rPr>
          <w:rFonts w:ascii="Calibri" w:hAnsi="Calibri"/>
          <w:vertAlign w:val="subscript"/>
          <w:lang w:val="en-US"/>
        </w:rPr>
        <w:t>2</w:t>
      </w:r>
      <w:r w:rsidR="00BC3320" w:rsidRPr="00BC3320">
        <w:rPr>
          <w:rFonts w:ascii="Calibri" w:hAnsi="Calibri"/>
          <w:lang w:val="en-US"/>
        </w:rPr>
        <w:t xml:space="preserve"> into H</w:t>
      </w:r>
      <w:r w:rsidR="00BC3320" w:rsidRPr="00BC3320">
        <w:rPr>
          <w:rFonts w:ascii="Calibri" w:hAnsi="Calibri"/>
          <w:vertAlign w:val="subscript"/>
          <w:lang w:val="en-US"/>
        </w:rPr>
        <w:t>2</w:t>
      </w:r>
      <w:r w:rsidR="00BC3320" w:rsidRPr="00BC3320">
        <w:rPr>
          <w:rFonts w:ascii="Calibri" w:hAnsi="Calibri"/>
          <w:lang w:val="en-US"/>
        </w:rPr>
        <w:t>O and O</w:t>
      </w:r>
      <w:r w:rsidR="00BC3320" w:rsidRPr="00BC3320">
        <w:rPr>
          <w:rFonts w:ascii="Calibri" w:hAnsi="Calibri"/>
          <w:vertAlign w:val="subscript"/>
          <w:lang w:val="en-US"/>
        </w:rPr>
        <w:t>2</w:t>
      </w:r>
      <w:r w:rsidR="00BC3320" w:rsidRPr="00BC3320">
        <w:rPr>
          <w:rFonts w:ascii="Calibri" w:hAnsi="Calibri"/>
          <w:lang w:val="en-US"/>
        </w:rPr>
        <w:t xml:space="preserve">, followed by a dissolved oxygen probe to measure this process. The system also included membrane contactors used to separate the aqueous and gas phases, followed by a hydrogen gas sensor to measure the amount of hydrogen produced during radiolysis. </w:t>
      </w:r>
      <w:bookmarkStart w:id="0" w:name="_GoBack"/>
      <w:bookmarkEnd w:id="0"/>
    </w:p>
    <w:p w14:paraId="5671747B" w14:textId="77777777" w:rsidR="00770B84" w:rsidRPr="004575CC" w:rsidRDefault="00770B84" w:rsidP="00E605A7">
      <w:pPr>
        <w:suppressAutoHyphens/>
        <w:jc w:val="both"/>
        <w:rPr>
          <w:rFonts w:ascii="Calibri" w:hAnsi="Calibri"/>
          <w:lang w:val="en-US"/>
        </w:rPr>
      </w:pPr>
      <w:r>
        <w:rPr>
          <w:rFonts w:ascii="Calibri" w:hAnsi="Calibri"/>
          <w:lang w:val="en-US"/>
        </w:rPr>
        <w:lastRenderedPageBreak/>
        <w:t xml:space="preserve">To determine the location of irradiation on the titanium window, an autoradiograph along with an optical image of the disk was performed. </w:t>
      </w:r>
      <w:r w:rsidR="008115E9">
        <w:rPr>
          <w:rFonts w:ascii="Calibri" w:hAnsi="Calibri"/>
          <w:lang w:val="en-US"/>
        </w:rPr>
        <w:t xml:space="preserve">Comparison of these analytical techniques were used to demonstrate similar alignment of the beam spot. </w:t>
      </w:r>
      <w:r w:rsidR="00E61C4A">
        <w:rPr>
          <w:rFonts w:ascii="Calibri" w:hAnsi="Calibri"/>
          <w:lang w:val="en-US"/>
        </w:rPr>
        <w:t>Further characterization of this area can be achieved by analysis through scanning-electron microscopy</w:t>
      </w:r>
      <w:r w:rsidR="00AF016D">
        <w:rPr>
          <w:rFonts w:ascii="Calibri" w:hAnsi="Calibri"/>
          <w:lang w:val="en-US"/>
        </w:rPr>
        <w:t xml:space="preserve"> (SEM)</w:t>
      </w:r>
      <w:r w:rsidR="00E61C4A">
        <w:rPr>
          <w:rFonts w:ascii="Calibri" w:hAnsi="Calibri"/>
          <w:lang w:val="en-US"/>
        </w:rPr>
        <w:t xml:space="preserve"> along with energy-dispersive x-ray spectroscopy</w:t>
      </w:r>
      <w:r w:rsidR="00AF016D">
        <w:rPr>
          <w:rFonts w:ascii="Calibri" w:hAnsi="Calibri"/>
          <w:lang w:val="en-US"/>
        </w:rPr>
        <w:t xml:space="preserve"> (EDS)</w:t>
      </w:r>
      <w:r w:rsidR="0040597A">
        <w:rPr>
          <w:rFonts w:ascii="Calibri" w:hAnsi="Calibri"/>
          <w:lang w:val="en-US"/>
        </w:rPr>
        <w:t>.</w:t>
      </w:r>
      <w:r w:rsidR="007E6E43">
        <w:rPr>
          <w:rFonts w:ascii="Calibri" w:hAnsi="Calibri"/>
          <w:vertAlign w:val="superscript"/>
          <w:lang w:val="en-US"/>
        </w:rPr>
        <w:t>5,6</w:t>
      </w:r>
      <w:r w:rsidR="00E61C4A">
        <w:rPr>
          <w:rFonts w:ascii="Calibri" w:hAnsi="Calibri"/>
          <w:lang w:val="en-US"/>
        </w:rPr>
        <w:t xml:space="preserve"> </w:t>
      </w:r>
    </w:p>
    <w:p w14:paraId="598E6F98" w14:textId="77777777" w:rsidR="000B6775" w:rsidRPr="00575FB1" w:rsidRDefault="000B6775" w:rsidP="00E605A7">
      <w:pPr>
        <w:suppressAutoHyphens/>
        <w:jc w:val="both"/>
        <w:rPr>
          <w:rFonts w:ascii="Calibri" w:hAnsi="Calibri"/>
          <w:lang w:val="en-US"/>
        </w:rPr>
      </w:pPr>
    </w:p>
    <w:p w14:paraId="485BFD0D" w14:textId="77777777" w:rsidR="00A9239E" w:rsidRPr="00575FB1" w:rsidRDefault="009A3F64" w:rsidP="00926016">
      <w:pPr>
        <w:suppressAutoHyphens/>
        <w:jc w:val="both"/>
        <w:rPr>
          <w:rFonts w:ascii="Calibri" w:hAnsi="Calibri"/>
          <w:b/>
          <w:sz w:val="22"/>
          <w:szCs w:val="22"/>
          <w:lang w:val="en-US"/>
        </w:rPr>
      </w:pPr>
      <w:r>
        <w:rPr>
          <w:rFonts w:ascii="Calibri" w:hAnsi="Calibri"/>
          <w:b/>
          <w:lang w:val="en-US"/>
        </w:rPr>
        <w:t xml:space="preserve">Results and Conclusion </w:t>
      </w:r>
    </w:p>
    <w:p w14:paraId="0C07A59B" w14:textId="77777777" w:rsidR="00A9239E" w:rsidRPr="00575FB1" w:rsidRDefault="00A9239E" w:rsidP="00926016">
      <w:pPr>
        <w:suppressAutoHyphens/>
        <w:jc w:val="both"/>
        <w:rPr>
          <w:rFonts w:ascii="Calibri" w:hAnsi="Calibri"/>
          <w:lang w:val="en-US"/>
        </w:rPr>
      </w:pPr>
    </w:p>
    <w:p w14:paraId="1C68E289" w14:textId="77777777" w:rsidR="00A9239E" w:rsidRDefault="002F043D" w:rsidP="00926016">
      <w:pPr>
        <w:suppressAutoHyphens/>
        <w:jc w:val="both"/>
        <w:rPr>
          <w:rFonts w:ascii="Calibri" w:hAnsi="Calibri"/>
          <w:lang w:val="en-US"/>
        </w:rPr>
      </w:pPr>
      <w:r>
        <w:rPr>
          <w:rFonts w:ascii="Calibri" w:hAnsi="Calibri"/>
          <w:lang w:val="en-US"/>
        </w:rPr>
        <w:t xml:space="preserve">During </w:t>
      </w:r>
      <w:r w:rsidR="00926016">
        <w:rPr>
          <w:rFonts w:ascii="Calibri" w:hAnsi="Calibri"/>
          <w:lang w:val="en-US"/>
        </w:rPr>
        <w:t xml:space="preserve">the experiment, each sensor within the water system was measuring and recording data. The information collected was used to understand the state of the water and atmospheric re-equilibration during irradiation. The pH of the system was constant around 5.9 and there was little change in dissolved oxygen within the system, both results most likely due to re-equilibration of carbon dioxide from the atmosphere. There was an increase in conductivity that was dependent on the beam power which suggests a possibility of degradation of the titanium surface of the window. </w:t>
      </w:r>
    </w:p>
    <w:p w14:paraId="7EC75039" w14:textId="5284ED01" w:rsidR="007607D3" w:rsidRDefault="00F53C7E" w:rsidP="00926016">
      <w:pPr>
        <w:suppressAutoHyphens/>
        <w:jc w:val="both"/>
        <w:rPr>
          <w:rFonts w:ascii="Calibri" w:hAnsi="Calibri"/>
          <w:lang w:val="en-US"/>
        </w:rPr>
      </w:pPr>
      <w:r>
        <w:rPr>
          <w:noProof/>
        </w:rPr>
        <w:drawing>
          <wp:anchor distT="0" distB="0" distL="114300" distR="114300" simplePos="0" relativeHeight="251661312" behindDoc="0" locked="0" layoutInCell="1" allowOverlap="1" wp14:anchorId="2EF75502" wp14:editId="682AF1A3">
            <wp:simplePos x="0" y="0"/>
            <wp:positionH relativeFrom="column">
              <wp:posOffset>0</wp:posOffset>
            </wp:positionH>
            <wp:positionV relativeFrom="paragraph">
              <wp:posOffset>61595</wp:posOffset>
            </wp:positionV>
            <wp:extent cx="2600325" cy="18288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D8C39" w14:textId="0E797B15" w:rsidR="007607D3" w:rsidRDefault="00F53C7E" w:rsidP="00926016">
      <w:pPr>
        <w:suppressAutoHyphens/>
        <w:jc w:val="both"/>
        <w:rPr>
          <w:rFonts w:ascii="Calibri" w:hAnsi="Calibri"/>
          <w:lang w:val="en-US"/>
        </w:rPr>
      </w:pPr>
      <w:r>
        <w:rPr>
          <w:noProof/>
        </w:rPr>
        <mc:AlternateContent>
          <mc:Choice Requires="wps">
            <w:drawing>
              <wp:anchor distT="0" distB="0" distL="114300" distR="114300" simplePos="0" relativeHeight="251663360" behindDoc="0" locked="0" layoutInCell="1" allowOverlap="1" wp14:anchorId="6184FA3A" wp14:editId="1DEFAAD5">
                <wp:simplePos x="0" y="0"/>
                <wp:positionH relativeFrom="column">
                  <wp:posOffset>-2436495</wp:posOffset>
                </wp:positionH>
                <wp:positionV relativeFrom="paragraph">
                  <wp:posOffset>1063625</wp:posOffset>
                </wp:positionV>
                <wp:extent cx="182880" cy="91440"/>
                <wp:effectExtent l="0" t="0" r="0" b="0"/>
                <wp:wrapNone/>
                <wp:docPr id="5" name="Rectangle: Rounded Corners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1440"/>
                        </a:xfrm>
                        <a:prstGeom prst="roundRect">
                          <a:avLst/>
                        </a:prstGeom>
                        <a:solidFill>
                          <a:srgbClr val="E6B91E">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893E0" id="Rectangle: Rounded Corners 2" o:spid="_x0000_s1026" style="position:absolute;margin-left:-191.85pt;margin-top:83.75pt;width:14.4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" fillcolor="#e6b91e" stroked="f">
                <v:fill opacity="32896f"/>
              </v:roundrect>
            </w:pict>
          </mc:Fallback>
        </mc:AlternateContent>
      </w:r>
      <w:r w:rsidR="007607D3">
        <w:rPr>
          <w:rFonts w:ascii="Calibri" w:hAnsi="Calibri"/>
          <w:lang w:val="en-US"/>
        </w:rPr>
        <w:t>As a major product of radiolysis, the concentration of hydrogen gas produced during the experiment was measured</w:t>
      </w:r>
      <w:r w:rsidR="00697375">
        <w:rPr>
          <w:rFonts w:ascii="Calibri" w:hAnsi="Calibri"/>
          <w:lang w:val="en-US"/>
        </w:rPr>
        <w:t xml:space="preserve"> (Figure 3)</w:t>
      </w:r>
      <w:r w:rsidR="007607D3">
        <w:rPr>
          <w:rFonts w:ascii="Calibri" w:hAnsi="Calibri"/>
          <w:lang w:val="en-US"/>
        </w:rPr>
        <w:t>. During the lower intensity of beam, the average concentration of hydrogen was around 130 ppm. That concentration increased to an average of 420 ppm at the higher beam intensity. Radiolysis production was also observed</w:t>
      </w:r>
      <w:r w:rsidR="005A0F47">
        <w:rPr>
          <w:rFonts w:ascii="Calibri" w:hAnsi="Calibri"/>
          <w:lang w:val="en-US"/>
        </w:rPr>
        <w:t xml:space="preserve"> to be dependent on beam power </w:t>
      </w:r>
      <w:r w:rsidR="004A5468">
        <w:rPr>
          <w:rFonts w:ascii="Calibri" w:hAnsi="Calibri"/>
          <w:lang w:val="en-US"/>
        </w:rPr>
        <w:t xml:space="preserve">at a production rate of </w:t>
      </w:r>
      <w:r w:rsidR="005A0F47">
        <w:rPr>
          <w:rFonts w:ascii="Calibri" w:hAnsi="Calibri"/>
          <w:lang w:val="en-US"/>
        </w:rPr>
        <w:t>approximately</w:t>
      </w:r>
      <w:r w:rsidR="004A5468">
        <w:rPr>
          <w:rFonts w:ascii="Calibri" w:hAnsi="Calibri"/>
          <w:lang w:val="en-US"/>
        </w:rPr>
        <w:t xml:space="preserve"> 3.01 </w:t>
      </w:r>
      <w:proofErr w:type="spellStart"/>
      <w:r w:rsidR="004A5468">
        <w:rPr>
          <w:rFonts w:ascii="Times New Roman" w:hAnsi="Times New Roman" w:cs="Times New Roman"/>
          <w:lang w:val="en-US"/>
        </w:rPr>
        <w:t>μ</w:t>
      </w:r>
      <w:r w:rsidR="004A5468">
        <w:rPr>
          <w:rFonts w:ascii="Calibri" w:hAnsi="Calibri"/>
          <w:lang w:val="en-US"/>
        </w:rPr>
        <w:t>mol</w:t>
      </w:r>
      <w:proofErr w:type="spellEnd"/>
      <w:r w:rsidR="004A5468">
        <w:rPr>
          <w:rFonts w:ascii="Calibri" w:hAnsi="Calibri"/>
          <w:lang w:val="en-US"/>
        </w:rPr>
        <w:t>/W</w:t>
      </w:r>
      <w:r w:rsidR="0040597A">
        <w:rPr>
          <w:rFonts w:ascii="Calibri" w:hAnsi="Calibri"/>
          <w:lang w:val="en-US"/>
        </w:rPr>
        <w:t>.</w:t>
      </w:r>
      <w:r w:rsidR="007E6E43">
        <w:rPr>
          <w:rFonts w:ascii="Calibri" w:hAnsi="Calibri"/>
          <w:vertAlign w:val="superscript"/>
          <w:lang w:val="en-US"/>
        </w:rPr>
        <w:t>3</w:t>
      </w:r>
      <w:r w:rsidR="007607D3">
        <w:rPr>
          <w:rFonts w:ascii="Calibri" w:hAnsi="Calibri"/>
          <w:lang w:val="en-US"/>
        </w:rPr>
        <w:t xml:space="preserve"> </w:t>
      </w:r>
    </w:p>
    <w:p w14:paraId="02D947BE" w14:textId="0B3564E6" w:rsidR="00847D50" w:rsidRDefault="00847D50" w:rsidP="00926016">
      <w:pPr>
        <w:suppressAutoHyphens/>
        <w:jc w:val="both"/>
        <w:rPr>
          <w:rFonts w:ascii="Calibri" w:hAnsi="Calibri"/>
          <w:lang w:val="en-US"/>
        </w:rPr>
      </w:pPr>
    </w:p>
    <w:p w14:paraId="64A2001D" w14:textId="1A6C87A6" w:rsidR="00847D50" w:rsidRDefault="00BC3320" w:rsidP="00847D50">
      <w:pPr>
        <w:suppressAutoHyphens/>
        <w:jc w:val="both"/>
        <w:rPr>
          <w:rFonts w:ascii="Calibri" w:hAnsi="Calibri"/>
          <w:lang w:val="en-US"/>
        </w:rPr>
      </w:pPr>
      <w:r>
        <w:rPr>
          <w:rFonts w:ascii="Calibri" w:hAnsi="Calibri"/>
          <w:noProof/>
          <w:lang w:val="en-US" w:eastAsia="en-US"/>
        </w:rPr>
        <mc:AlternateContent>
          <mc:Choice Requires="wps">
            <w:drawing>
              <wp:anchor distT="45720" distB="45720" distL="114300" distR="114300" simplePos="0" relativeHeight="251662336" behindDoc="0" locked="0" layoutInCell="1" allowOverlap="1" wp14:anchorId="45806E5E" wp14:editId="0B72A3D3">
                <wp:simplePos x="0" y="0"/>
                <wp:positionH relativeFrom="column">
                  <wp:posOffset>-91440</wp:posOffset>
                </wp:positionH>
                <wp:positionV relativeFrom="paragraph">
                  <wp:posOffset>149860</wp:posOffset>
                </wp:positionV>
                <wp:extent cx="2712085" cy="824865"/>
                <wp:effectExtent l="0" t="3175" r="2540" b="6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82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A587C" w14:textId="77777777" w:rsidR="00697375" w:rsidRPr="004E79AA" w:rsidRDefault="00697375" w:rsidP="00697375">
                            <w:pPr>
                              <w:rPr>
                                <w:rFonts w:ascii="Calibri" w:hAnsi="Calibri" w:cs="Times New Roman"/>
                                <w:sz w:val="16"/>
                                <w:szCs w:val="16"/>
                              </w:rPr>
                            </w:pPr>
                            <w:r>
                              <w:rPr>
                                <w:rFonts w:ascii="Calibri" w:hAnsi="Calibri"/>
                                <w:sz w:val="16"/>
                                <w:szCs w:val="16"/>
                              </w:rPr>
                              <w:t xml:space="preserve">Figure </w:t>
                            </w:r>
                            <w:r>
                              <w:rPr>
                                <w:rFonts w:ascii="Calibri" w:hAnsi="Calibri"/>
                                <w:sz w:val="16"/>
                                <w:szCs w:val="16"/>
                              </w:rPr>
                              <w:t>3</w:t>
                            </w:r>
                            <w:r w:rsidRPr="00697375">
                              <w:rPr>
                                <w:rFonts w:ascii="Calibri" w:hAnsi="Calibri"/>
                                <w:sz w:val="16"/>
                                <w:szCs w:val="16"/>
                              </w:rPr>
                              <w:t>: Depiction</w:t>
                            </w:r>
                            <w:r>
                              <w:rPr>
                                <w:rFonts w:ascii="Calibri" w:hAnsi="Calibri"/>
                                <w:sz w:val="16"/>
                                <w:szCs w:val="16"/>
                              </w:rPr>
                              <w:t xml:space="preserve"> of the hydrogen sensor reading. </w:t>
                            </w:r>
                            <w:r w:rsidRPr="00697375">
                              <w:rPr>
                                <w:rFonts w:ascii="Calibri" w:hAnsi="Calibri"/>
                                <w:sz w:val="16"/>
                                <w:szCs w:val="16"/>
                              </w:rPr>
                              <w:t>Highlighted in orange represents the period of time where the beam power was 1 W, with the remainder of the data at a beam power of 3 W. Each dip in the graph to zero occurred because a Faraday cup was inserted during that time, obstructing the beam.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06E5E" id="_x0000_s1028" type="#_x0000_t202" style="position:absolute;left:0;text-align:left;margin-left:-7.2pt;margin-top:11.8pt;width:213.55pt;height:6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jktwIAAMA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" filled="f" stroked="f">
                <v:textbox>
                  <w:txbxContent>
                    <w:p w14:paraId="5A5A587C" w14:textId="77777777" w:rsidR="00697375" w:rsidRPr="004E79AA" w:rsidRDefault="00697375" w:rsidP="00697375">
                      <w:pPr>
                        <w:rPr>
                          <w:rFonts w:ascii="Calibri" w:hAnsi="Calibri" w:cs="Times New Roman"/>
                          <w:sz w:val="16"/>
                          <w:szCs w:val="16"/>
                        </w:rPr>
                      </w:pPr>
                      <w:r>
                        <w:rPr>
                          <w:rFonts w:ascii="Calibri" w:hAnsi="Calibri"/>
                          <w:sz w:val="16"/>
                          <w:szCs w:val="16"/>
                        </w:rPr>
                        <w:t xml:space="preserve">Figure </w:t>
                      </w:r>
                      <w:r>
                        <w:rPr>
                          <w:rFonts w:ascii="Calibri" w:hAnsi="Calibri"/>
                          <w:sz w:val="16"/>
                          <w:szCs w:val="16"/>
                        </w:rPr>
                        <w:t>3</w:t>
                      </w:r>
                      <w:r w:rsidRPr="00697375">
                        <w:rPr>
                          <w:rFonts w:ascii="Calibri" w:hAnsi="Calibri"/>
                          <w:sz w:val="16"/>
                          <w:szCs w:val="16"/>
                        </w:rPr>
                        <w:t>: Depiction</w:t>
                      </w:r>
                      <w:r>
                        <w:rPr>
                          <w:rFonts w:ascii="Calibri" w:hAnsi="Calibri"/>
                          <w:sz w:val="16"/>
                          <w:szCs w:val="16"/>
                        </w:rPr>
                        <w:t xml:space="preserve"> of the hydrogen sensor reading. </w:t>
                      </w:r>
                      <w:r w:rsidRPr="00697375">
                        <w:rPr>
                          <w:rFonts w:ascii="Calibri" w:hAnsi="Calibri"/>
                          <w:sz w:val="16"/>
                          <w:szCs w:val="16"/>
                        </w:rPr>
                        <w:t>Highlighted in orange represents the period of time where the beam power was 1 W, with the remainder of the data at a beam power of 3 W. Each dip in the graph to zero occurred because a Faraday cup was inserted during that time, obstructing the beam.</w:t>
                      </w:r>
                    </w:p>
                  </w:txbxContent>
                </v:textbox>
                <w10:wrap type="square"/>
              </v:shape>
            </w:pict>
          </mc:Fallback>
        </mc:AlternateContent>
      </w:r>
      <w:r w:rsidR="00847D50">
        <w:rPr>
          <w:rFonts w:ascii="Calibri" w:hAnsi="Calibri"/>
          <w:lang w:val="en-US"/>
        </w:rPr>
        <w:t>In order to detect the presence and activity of isotopes trapped in various components of the target and water system, gamma spectrometry was used</w:t>
      </w:r>
      <w:r w:rsidR="00697375">
        <w:rPr>
          <w:rFonts w:ascii="Calibri" w:hAnsi="Calibri"/>
          <w:lang w:val="en-US"/>
        </w:rPr>
        <w:t>. These results can provide more information about any degradation to the surface of the titanium disk to be used in tandem with other testing.</w:t>
      </w:r>
    </w:p>
    <w:p w14:paraId="35EB4C4D" w14:textId="3BB9BDD3" w:rsidR="00926016" w:rsidRDefault="00926016" w:rsidP="00926016">
      <w:pPr>
        <w:suppressAutoHyphens/>
        <w:jc w:val="both"/>
        <w:rPr>
          <w:rFonts w:ascii="Calibri" w:hAnsi="Calibri"/>
          <w:lang w:val="en-US"/>
        </w:rPr>
      </w:pPr>
    </w:p>
    <w:p w14:paraId="1EDB08CE" w14:textId="09181FE4" w:rsidR="00AF016D" w:rsidRDefault="00BC3320" w:rsidP="00926016">
      <w:pPr>
        <w:suppressAutoHyphens/>
        <w:jc w:val="both"/>
        <w:rPr>
          <w:rFonts w:ascii="Calibri" w:hAnsi="Calibri"/>
          <w:lang w:val="en-US"/>
        </w:rPr>
      </w:pPr>
      <w:r>
        <w:rPr>
          <w:noProof/>
          <w:lang w:val="en-US" w:eastAsia="en-US"/>
        </w:rPr>
        <mc:AlternateContent>
          <mc:Choice Requires="wps">
            <w:drawing>
              <wp:anchor distT="45720" distB="45720" distL="114300" distR="114300" simplePos="0" relativeHeight="251660288" behindDoc="0" locked="0" layoutInCell="1" allowOverlap="1" wp14:anchorId="6B16EA2E" wp14:editId="4336BD8C">
                <wp:simplePos x="0" y="0"/>
                <wp:positionH relativeFrom="column">
                  <wp:posOffset>2706370</wp:posOffset>
                </wp:positionH>
                <wp:positionV relativeFrom="paragraph">
                  <wp:posOffset>1400175</wp:posOffset>
                </wp:positionV>
                <wp:extent cx="3028950" cy="614680"/>
                <wp:effectExtent l="0" t="0" r="254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F6ADC" w14:textId="77777777" w:rsidR="00022C75" w:rsidRPr="004E79AA" w:rsidRDefault="007607D3" w:rsidP="00022C75">
                            <w:pPr>
                              <w:rPr>
                                <w:rFonts w:ascii="Calibri" w:hAnsi="Calibri" w:cs="Times New Roman"/>
                                <w:sz w:val="16"/>
                                <w:szCs w:val="16"/>
                              </w:rPr>
                            </w:pPr>
                            <w:r>
                              <w:rPr>
                                <w:rFonts w:ascii="Calibri" w:hAnsi="Calibri"/>
                                <w:sz w:val="16"/>
                                <w:szCs w:val="16"/>
                              </w:rPr>
                              <w:t xml:space="preserve">Figure </w:t>
                            </w:r>
                            <w:r>
                              <w:rPr>
                                <w:rFonts w:ascii="Calibri" w:hAnsi="Calibri"/>
                                <w:sz w:val="16"/>
                                <w:szCs w:val="16"/>
                              </w:rPr>
                              <w:t>4</w:t>
                            </w:r>
                            <w:r w:rsidR="00022C75" w:rsidRPr="00022C75">
                              <w:rPr>
                                <w:rFonts w:ascii="Calibri" w:hAnsi="Calibri"/>
                                <w:sz w:val="16"/>
                                <w:szCs w:val="16"/>
                              </w:rPr>
                              <w:t xml:space="preserve">: Autoradiograph image (left) and optical image (right) demonstrating the placement of the beam spot. </w:t>
                            </w:r>
                            <w:r w:rsidR="00022C75">
                              <w:rPr>
                                <w:rFonts w:ascii="Calibri" w:hAnsi="Calibri"/>
                                <w:sz w:val="16"/>
                                <w:szCs w:val="16"/>
                              </w:rPr>
                              <w:t>T</w:t>
                            </w:r>
                            <w:r w:rsidR="00022C75" w:rsidRPr="00022C75">
                              <w:rPr>
                                <w:rFonts w:ascii="Calibri" w:hAnsi="Calibri"/>
                                <w:sz w:val="16"/>
                                <w:szCs w:val="16"/>
                              </w:rPr>
                              <w:t>he arrow</w:t>
                            </w:r>
                            <w:r w:rsidR="00022C75">
                              <w:rPr>
                                <w:rFonts w:ascii="Calibri" w:hAnsi="Calibri"/>
                                <w:sz w:val="16"/>
                                <w:szCs w:val="16"/>
                              </w:rPr>
                              <w:t>s</w:t>
                            </w:r>
                            <w:r w:rsidR="00022C75" w:rsidRPr="00022C75">
                              <w:rPr>
                                <w:rFonts w:ascii="Calibri" w:hAnsi="Calibri"/>
                                <w:sz w:val="16"/>
                                <w:szCs w:val="16"/>
                              </w:rPr>
                              <w:t xml:space="preserve"> denot</w:t>
                            </w:r>
                            <w:r w:rsidR="00022C75">
                              <w:rPr>
                                <w:rFonts w:ascii="Calibri" w:hAnsi="Calibri"/>
                                <w:sz w:val="16"/>
                                <w:szCs w:val="16"/>
                              </w:rPr>
                              <w:t>e</w:t>
                            </w:r>
                            <w:r w:rsidR="00022C75" w:rsidRPr="00022C75">
                              <w:rPr>
                                <w:rFonts w:ascii="Calibri" w:hAnsi="Calibri"/>
                                <w:sz w:val="16"/>
                                <w:szCs w:val="16"/>
                              </w:rPr>
                              <w:t xml:space="preserve"> the top of the window as placed into the target.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6EA2E" id="_x0000_s1029" type="#_x0000_t202" style="position:absolute;left:0;text-align:left;margin-left:213.1pt;margin-top:110.25pt;width:238.5pt;height:48.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qxuQIAAMA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" filled="f" stroked="f">
                <v:textbox>
                  <w:txbxContent>
                    <w:p w14:paraId="6B3F6ADC" w14:textId="77777777" w:rsidR="00022C75" w:rsidRPr="004E79AA" w:rsidRDefault="007607D3" w:rsidP="00022C75">
                      <w:pPr>
                        <w:rPr>
                          <w:rFonts w:ascii="Calibri" w:hAnsi="Calibri" w:cs="Times New Roman"/>
                          <w:sz w:val="16"/>
                          <w:szCs w:val="16"/>
                        </w:rPr>
                      </w:pPr>
                      <w:r>
                        <w:rPr>
                          <w:rFonts w:ascii="Calibri" w:hAnsi="Calibri"/>
                          <w:sz w:val="16"/>
                          <w:szCs w:val="16"/>
                        </w:rPr>
                        <w:t xml:space="preserve">Figure </w:t>
                      </w:r>
                      <w:r>
                        <w:rPr>
                          <w:rFonts w:ascii="Calibri" w:hAnsi="Calibri"/>
                          <w:sz w:val="16"/>
                          <w:szCs w:val="16"/>
                        </w:rPr>
                        <w:t>4</w:t>
                      </w:r>
                      <w:r w:rsidR="00022C75" w:rsidRPr="00022C75">
                        <w:rPr>
                          <w:rFonts w:ascii="Calibri" w:hAnsi="Calibri"/>
                          <w:sz w:val="16"/>
                          <w:szCs w:val="16"/>
                        </w:rPr>
                        <w:t xml:space="preserve">: Autoradiograph image (left) and optical image (right) demonstrating the placement of the beam spot. </w:t>
                      </w:r>
                      <w:r w:rsidR="00022C75">
                        <w:rPr>
                          <w:rFonts w:ascii="Calibri" w:hAnsi="Calibri"/>
                          <w:sz w:val="16"/>
                          <w:szCs w:val="16"/>
                        </w:rPr>
                        <w:t>T</w:t>
                      </w:r>
                      <w:r w:rsidR="00022C75" w:rsidRPr="00022C75">
                        <w:rPr>
                          <w:rFonts w:ascii="Calibri" w:hAnsi="Calibri"/>
                          <w:sz w:val="16"/>
                          <w:szCs w:val="16"/>
                        </w:rPr>
                        <w:t>he arrow</w:t>
                      </w:r>
                      <w:r w:rsidR="00022C75">
                        <w:rPr>
                          <w:rFonts w:ascii="Calibri" w:hAnsi="Calibri"/>
                          <w:sz w:val="16"/>
                          <w:szCs w:val="16"/>
                        </w:rPr>
                        <w:t>s</w:t>
                      </w:r>
                      <w:r w:rsidR="00022C75" w:rsidRPr="00022C75">
                        <w:rPr>
                          <w:rFonts w:ascii="Calibri" w:hAnsi="Calibri"/>
                          <w:sz w:val="16"/>
                          <w:szCs w:val="16"/>
                        </w:rPr>
                        <w:t xml:space="preserve"> denot</w:t>
                      </w:r>
                      <w:r w:rsidR="00022C75">
                        <w:rPr>
                          <w:rFonts w:ascii="Calibri" w:hAnsi="Calibri"/>
                          <w:sz w:val="16"/>
                          <w:szCs w:val="16"/>
                        </w:rPr>
                        <w:t>e</w:t>
                      </w:r>
                      <w:r w:rsidR="00022C75" w:rsidRPr="00022C75">
                        <w:rPr>
                          <w:rFonts w:ascii="Calibri" w:hAnsi="Calibri"/>
                          <w:sz w:val="16"/>
                          <w:szCs w:val="16"/>
                        </w:rPr>
                        <w:t xml:space="preserve"> the top of the window as placed into the target.</w:t>
                      </w:r>
                    </w:p>
                  </w:txbxContent>
                </v:textbox>
                <w10:wrap type="square"/>
              </v:shape>
            </w:pict>
          </mc:Fallback>
        </mc:AlternateContent>
      </w:r>
      <w:r>
        <w:rPr>
          <w:noProof/>
        </w:rPr>
        <w:drawing>
          <wp:anchor distT="0" distB="0" distL="114300" distR="114300" simplePos="0" relativeHeight="251652096" behindDoc="0" locked="0" layoutInCell="1" allowOverlap="1" wp14:anchorId="6922E556" wp14:editId="285832DD">
            <wp:simplePos x="0" y="0"/>
            <wp:positionH relativeFrom="column">
              <wp:posOffset>2713990</wp:posOffset>
            </wp:positionH>
            <wp:positionV relativeFrom="paragraph">
              <wp:posOffset>15240</wp:posOffset>
            </wp:positionV>
            <wp:extent cx="1371600" cy="1371600"/>
            <wp:effectExtent l="0" t="0" r="0" b="0"/>
            <wp:wrapSquare wrapText="bothSides"/>
            <wp:docPr id="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l="22830" t="14619" r="38599" b="62238"/>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7AC5138B" wp14:editId="168659E0">
            <wp:simplePos x="0" y="0"/>
            <wp:positionH relativeFrom="margin">
              <wp:align>right</wp:align>
            </wp:positionH>
            <wp:positionV relativeFrom="paragraph">
              <wp:posOffset>7620</wp:posOffset>
            </wp:positionV>
            <wp:extent cx="1419225" cy="1371600"/>
            <wp:effectExtent l="0" t="0" r="9525" b="0"/>
            <wp:wrapSquare wrapText="bothSides"/>
            <wp:docPr id="1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C7E">
        <w:rPr>
          <w:noProof/>
        </w:rPr>
        <mc:AlternateContent>
          <mc:Choice Requires="wps">
            <w:drawing>
              <wp:anchor distT="0" distB="0" distL="114300" distR="114300" simplePos="0" relativeHeight="251659264" behindDoc="0" locked="0" layoutInCell="1" allowOverlap="1" wp14:anchorId="758BACA3" wp14:editId="13E04395">
                <wp:simplePos x="0" y="0"/>
                <wp:positionH relativeFrom="column">
                  <wp:posOffset>5161915</wp:posOffset>
                </wp:positionH>
                <wp:positionV relativeFrom="paragraph">
                  <wp:posOffset>156845</wp:posOffset>
                </wp:positionV>
                <wp:extent cx="276225" cy="274320"/>
                <wp:effectExtent l="27940" t="78105" r="76835" b="19050"/>
                <wp:wrapNone/>
                <wp:docPr id="2"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274320"/>
                        </a:xfrm>
                        <a:prstGeom prst="straightConnector1">
                          <a:avLst/>
                        </a:prstGeom>
                        <a:noFill/>
                        <a:ln w="38100" algn="ctr">
                          <a:solidFill>
                            <a:srgbClr val="E6B91E"/>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2F864F06" id="_x0000_t32" coordsize="21600,21600" o:spt="32" o:oned="t" path="m,l21600,21600e" filled="f">
                <v:path arrowok="t" fillok="f" o:connecttype="none"/>
                <o:lock v:ext="edit" shapetype="t"/>
              </v:shapetype>
              <v:shape id="Straight Arrow Connector 34" o:spid="_x0000_s1026" type="#_x0000_t32" style="position:absolute;margin-left:406.45pt;margin-top:12.35pt;width:21.75pt;height:21.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" strokecolor="#e6b91e" strokeweight="3pt">
                <v:stroke endarrow="block" joinstyle="miter"/>
              </v:shape>
            </w:pict>
          </mc:Fallback>
        </mc:AlternateContent>
      </w:r>
      <w:r w:rsidR="00F53C7E">
        <w:rPr>
          <w:noProof/>
        </w:rPr>
        <mc:AlternateContent>
          <mc:Choice Requires="wps">
            <w:drawing>
              <wp:anchor distT="0" distB="0" distL="114300" distR="114300" simplePos="0" relativeHeight="251658240" behindDoc="0" locked="0" layoutInCell="1" allowOverlap="1" wp14:anchorId="0A6ACDD9" wp14:editId="519D3075">
                <wp:simplePos x="0" y="0"/>
                <wp:positionH relativeFrom="column">
                  <wp:posOffset>3409950</wp:posOffset>
                </wp:positionH>
                <wp:positionV relativeFrom="paragraph">
                  <wp:posOffset>97155</wp:posOffset>
                </wp:positionV>
                <wp:extent cx="0" cy="274320"/>
                <wp:effectExtent l="85725" t="37465" r="85725" b="21590"/>
                <wp:wrapNone/>
                <wp:docPr id="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74320"/>
                        </a:xfrm>
                        <a:prstGeom prst="straightConnector1">
                          <a:avLst/>
                        </a:prstGeom>
                        <a:noFill/>
                        <a:ln w="38100" algn="ctr">
                          <a:solidFill>
                            <a:srgbClr val="E6B91E"/>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A3797" id="Straight Arrow Connector 11" o:spid="_x0000_s1026" type="#_x0000_t32" style="position:absolute;margin-left:268.5pt;margin-top:7.65pt;width:0;height:21.6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" strokecolor="#e6b91e" strokeweight="3pt">
                <v:stroke endarrow="block" joinstyle="miter"/>
              </v:shape>
            </w:pict>
          </mc:Fallback>
        </mc:AlternateContent>
      </w:r>
      <w:r w:rsidR="00AF016D">
        <w:rPr>
          <w:rFonts w:ascii="Calibri" w:hAnsi="Calibri"/>
          <w:lang w:val="en-US"/>
        </w:rPr>
        <w:t>After visual observation of the titanium disk, discoloration was seen due to irradiation. Results from the autoradiograph and optical image of the disk demonstrate similar alignment of radiation due to the beam spot</w:t>
      </w:r>
      <w:r w:rsidR="00697375">
        <w:rPr>
          <w:rFonts w:ascii="Calibri" w:hAnsi="Calibri"/>
          <w:lang w:val="en-US"/>
        </w:rPr>
        <w:t xml:space="preserve"> (Figure 4)</w:t>
      </w:r>
      <w:r w:rsidR="00AF016D">
        <w:rPr>
          <w:rFonts w:ascii="Calibri" w:hAnsi="Calibri"/>
          <w:lang w:val="en-US"/>
        </w:rPr>
        <w:t xml:space="preserve">. The optical image also overlays the visual discoloration of the window. </w:t>
      </w:r>
      <w:r w:rsidR="003233B5">
        <w:rPr>
          <w:rFonts w:ascii="Calibri" w:hAnsi="Calibri"/>
          <w:lang w:val="en-US"/>
        </w:rPr>
        <w:t>Further a</w:t>
      </w:r>
      <w:r w:rsidR="00AF016D">
        <w:rPr>
          <w:rFonts w:ascii="Calibri" w:hAnsi="Calibri"/>
          <w:lang w:val="en-US"/>
        </w:rPr>
        <w:t xml:space="preserve">nalysis of the surface of the material will be </w:t>
      </w:r>
      <w:r w:rsidR="003233B5">
        <w:rPr>
          <w:rFonts w:ascii="Calibri" w:hAnsi="Calibri"/>
          <w:lang w:val="en-US"/>
        </w:rPr>
        <w:t xml:space="preserve">completed by using SEM to compare the topography of irradiated and non-irradiated titanium alloy samples. In addition, EDS will allow for the analysis of the elemental composition of the alloy to not only confirm the structure of the alloy, but to also observe the possible existence of an oxide layer. </w:t>
      </w:r>
    </w:p>
    <w:p w14:paraId="53ED90B7" w14:textId="77777777" w:rsidR="00667B1C" w:rsidRDefault="00667B1C" w:rsidP="00926016">
      <w:pPr>
        <w:suppressAutoHyphens/>
        <w:jc w:val="both"/>
        <w:rPr>
          <w:rFonts w:ascii="Calibri" w:hAnsi="Calibri"/>
          <w:lang w:val="en-US"/>
        </w:rPr>
      </w:pPr>
    </w:p>
    <w:p w14:paraId="5BD59A11" w14:textId="77777777" w:rsidR="00667B1C" w:rsidRPr="00575FB1" w:rsidRDefault="00667B1C" w:rsidP="00926016">
      <w:pPr>
        <w:suppressAutoHyphens/>
        <w:jc w:val="both"/>
        <w:rPr>
          <w:rFonts w:ascii="Calibri" w:hAnsi="Calibri"/>
          <w:lang w:val="en-US"/>
        </w:rPr>
      </w:pPr>
      <w:r>
        <w:rPr>
          <w:rFonts w:ascii="Calibri" w:hAnsi="Calibri"/>
          <w:lang w:val="en-US"/>
        </w:rPr>
        <w:t xml:space="preserve">The results from each sensor along with </w:t>
      </w:r>
      <w:r w:rsidR="002E19F3">
        <w:rPr>
          <w:rFonts w:ascii="Calibri" w:hAnsi="Calibri"/>
          <w:lang w:val="en-US"/>
        </w:rPr>
        <w:t xml:space="preserve">information learned from the material analysis will be used to determine the stability and corrosion resistivity of the Ti6Al4V alloy chosen and to determine if this material is sufficient to proceed with for future experimentation. </w:t>
      </w:r>
    </w:p>
    <w:p w14:paraId="2C8452FF" w14:textId="77777777" w:rsidR="00F14614" w:rsidRPr="00575FB1" w:rsidRDefault="00F14614" w:rsidP="00926016">
      <w:pPr>
        <w:suppressAutoHyphens/>
        <w:jc w:val="both"/>
        <w:rPr>
          <w:rFonts w:ascii="Calibri" w:hAnsi="Calibri"/>
          <w:lang w:val="en-US"/>
        </w:rPr>
      </w:pPr>
    </w:p>
    <w:p w14:paraId="6B70CBCA" w14:textId="77777777" w:rsidR="00A9239E" w:rsidRPr="00A36CBF" w:rsidRDefault="00662F44" w:rsidP="004549FF">
      <w:pPr>
        <w:suppressAutoHyphens/>
        <w:jc w:val="both"/>
        <w:rPr>
          <w:rFonts w:ascii="Calibri" w:hAnsi="Calibri"/>
          <w:b/>
          <w:sz w:val="22"/>
          <w:szCs w:val="22"/>
          <w:lang w:val="en-US"/>
        </w:rPr>
      </w:pPr>
      <w:r>
        <w:rPr>
          <w:rFonts w:ascii="Calibri" w:hAnsi="Calibri"/>
          <w:b/>
          <w:lang w:val="en-US"/>
        </w:rPr>
        <w:t>References</w:t>
      </w:r>
    </w:p>
    <w:p w14:paraId="6146E557" w14:textId="77777777" w:rsidR="00A36CBF" w:rsidRDefault="00A36CBF" w:rsidP="004549FF">
      <w:pPr>
        <w:pStyle w:val="Reference"/>
        <w:suppressAutoHyphens/>
        <w:rPr>
          <w:rFonts w:ascii="Calibri" w:hAnsi="Calibri" w:cs="Arial"/>
          <w:color w:val="000000"/>
          <w:szCs w:val="18"/>
          <w:lang w:eastAsia="de-DE"/>
        </w:rPr>
      </w:pPr>
      <w:r>
        <w:rPr>
          <w:rFonts w:ascii="Calibri" w:hAnsi="Calibri" w:cs="Arial"/>
          <w:color w:val="000000"/>
          <w:szCs w:val="18"/>
          <w:lang w:eastAsia="de-DE"/>
        </w:rPr>
        <w:t>1.</w:t>
      </w:r>
      <w:r w:rsidR="00754AC0" w:rsidRPr="00575FB1">
        <w:rPr>
          <w:rFonts w:ascii="Calibri" w:hAnsi="Calibri" w:cs="Arial"/>
          <w:color w:val="000000"/>
          <w:szCs w:val="18"/>
          <w:lang w:eastAsia="de-DE"/>
        </w:rPr>
        <w:tab/>
      </w:r>
      <w:r w:rsidRPr="00A36CBF">
        <w:rPr>
          <w:rFonts w:ascii="Calibri" w:hAnsi="Calibri" w:cs="Arial"/>
          <w:color w:val="000000"/>
          <w:szCs w:val="18"/>
          <w:lang w:eastAsia="de-DE"/>
        </w:rPr>
        <w:t>Severin, G.; et al.</w:t>
      </w:r>
      <w:r w:rsidRPr="00A36CBF">
        <w:rPr>
          <w:rFonts w:ascii="Calibri" w:hAnsi="Calibri" w:cs="Arial"/>
          <w:i/>
          <w:color w:val="000000"/>
          <w:szCs w:val="18"/>
          <w:lang w:eastAsia="de-DE"/>
        </w:rPr>
        <w:t xml:space="preserve"> Report</w:t>
      </w:r>
      <w:r w:rsidRPr="00A36CBF">
        <w:rPr>
          <w:rFonts w:ascii="Calibri" w:hAnsi="Calibri" w:cs="Arial"/>
          <w:color w:val="000000"/>
          <w:szCs w:val="18"/>
          <w:lang w:eastAsia="de-DE"/>
        </w:rPr>
        <w:t xml:space="preserve">. </w:t>
      </w:r>
      <w:r>
        <w:rPr>
          <w:rFonts w:ascii="Calibri" w:hAnsi="Calibri" w:cs="Arial"/>
          <w:color w:val="000000"/>
          <w:szCs w:val="18"/>
          <w:lang w:eastAsia="de-DE"/>
        </w:rPr>
        <w:t xml:space="preserve">2017. </w:t>
      </w:r>
    </w:p>
    <w:p w14:paraId="77D9163D" w14:textId="77777777" w:rsidR="00A36CBF" w:rsidRDefault="00A36CBF" w:rsidP="004549FF">
      <w:pPr>
        <w:pStyle w:val="Reference"/>
        <w:suppressAutoHyphens/>
        <w:rPr>
          <w:rFonts w:ascii="Calibri" w:hAnsi="Calibri" w:cs="Arial"/>
          <w:color w:val="000000"/>
          <w:szCs w:val="18"/>
          <w:lang w:eastAsia="de-DE"/>
        </w:rPr>
      </w:pPr>
      <w:r>
        <w:rPr>
          <w:rFonts w:ascii="Calibri" w:hAnsi="Calibri" w:cs="Arial"/>
          <w:color w:val="000000"/>
          <w:szCs w:val="18"/>
          <w:lang w:eastAsia="de-DE"/>
        </w:rPr>
        <w:t xml:space="preserve">2.   National Superconducting Cyclotron Laboratory Homepage. </w:t>
      </w:r>
      <w:hyperlink r:id="rId13" w:history="1">
        <w:r w:rsidRPr="00F30E59">
          <w:rPr>
            <w:rStyle w:val="Hyperlink"/>
            <w:rFonts w:ascii="Calibri" w:hAnsi="Calibri" w:cs="Arial"/>
            <w:szCs w:val="18"/>
            <w:lang w:eastAsia="de-DE"/>
          </w:rPr>
          <w:t>https://www.nscl.msu.edu</w:t>
        </w:r>
      </w:hyperlink>
    </w:p>
    <w:p w14:paraId="5E3727FB" w14:textId="77777777" w:rsidR="00A36CBF" w:rsidRPr="005B7C70" w:rsidRDefault="00A36CBF" w:rsidP="004549FF">
      <w:pPr>
        <w:ind w:left="720" w:hanging="720"/>
        <w:jc w:val="both"/>
        <w:rPr>
          <w:rFonts w:ascii="Calibri" w:eastAsia="Calibri" w:hAnsi="Calibri" w:cs="Times New Roman"/>
        </w:rPr>
      </w:pPr>
      <w:r>
        <w:rPr>
          <w:rFonts w:ascii="Calibri" w:hAnsi="Calibri"/>
          <w:color w:val="000000"/>
          <w:szCs w:val="18"/>
        </w:rPr>
        <w:t>3.</w:t>
      </w:r>
      <w:r w:rsidRPr="00A36CBF">
        <w:rPr>
          <w:rFonts w:ascii="Times New Roman" w:eastAsia="Calibri" w:hAnsi="Times New Roman" w:cs="Times New Roman"/>
          <w:sz w:val="24"/>
        </w:rPr>
        <w:t xml:space="preserve"> </w:t>
      </w:r>
      <w:r>
        <w:rPr>
          <w:rFonts w:ascii="Times New Roman" w:eastAsia="Calibri" w:hAnsi="Times New Roman" w:cs="Times New Roman"/>
          <w:sz w:val="24"/>
        </w:rPr>
        <w:t xml:space="preserve"> </w:t>
      </w:r>
      <w:r w:rsidRPr="005B7C70">
        <w:rPr>
          <w:rFonts w:ascii="Calibri" w:eastAsia="Calibri" w:hAnsi="Calibri" w:cs="Times New Roman"/>
          <w:sz w:val="18"/>
          <w:szCs w:val="18"/>
        </w:rPr>
        <w:t xml:space="preserve">Meesungnoen, J.; Jay-Gerin, J. P. </w:t>
      </w:r>
      <w:r w:rsidRPr="005B7C70">
        <w:rPr>
          <w:rFonts w:ascii="Calibri" w:eastAsia="Calibri" w:hAnsi="Calibri" w:cs="Times New Roman"/>
          <w:i/>
          <w:sz w:val="18"/>
          <w:szCs w:val="18"/>
        </w:rPr>
        <w:t>J. Phys. Chem. A.</w:t>
      </w:r>
      <w:r w:rsidRPr="005B7C70">
        <w:rPr>
          <w:rFonts w:ascii="Calibri" w:eastAsia="Calibri" w:hAnsi="Calibri" w:cs="Times New Roman"/>
          <w:sz w:val="18"/>
          <w:szCs w:val="18"/>
        </w:rPr>
        <w:t xml:space="preserve">, </w:t>
      </w:r>
      <w:r w:rsidRPr="005B7C70">
        <w:rPr>
          <w:rFonts w:ascii="Calibri" w:eastAsia="Calibri" w:hAnsi="Calibri" w:cs="Times New Roman"/>
          <w:i/>
          <w:sz w:val="18"/>
          <w:szCs w:val="18"/>
        </w:rPr>
        <w:t>109</w:t>
      </w:r>
      <w:r w:rsidRPr="005B7C70">
        <w:rPr>
          <w:rFonts w:ascii="Calibri" w:eastAsia="Calibri" w:hAnsi="Calibri" w:cs="Times New Roman"/>
          <w:sz w:val="18"/>
          <w:szCs w:val="18"/>
        </w:rPr>
        <w:t>, pp. 6406 – 6419. 2005.</w:t>
      </w:r>
    </w:p>
    <w:p w14:paraId="51A30F38" w14:textId="6108FE16" w:rsidR="004549FF" w:rsidRDefault="00A36CBF" w:rsidP="004549FF">
      <w:pPr>
        <w:pStyle w:val="Reference"/>
        <w:suppressAutoHyphens/>
        <w:rPr>
          <w:rFonts w:ascii="Calibri" w:eastAsia="Calibri" w:hAnsi="Calibri"/>
          <w:szCs w:val="18"/>
        </w:rPr>
      </w:pPr>
      <w:r>
        <w:rPr>
          <w:rFonts w:ascii="Calibri" w:hAnsi="Calibri" w:cs="Arial"/>
          <w:color w:val="000000"/>
          <w:szCs w:val="18"/>
          <w:lang w:eastAsia="de-DE"/>
        </w:rPr>
        <w:t xml:space="preserve">4.   </w:t>
      </w:r>
      <w:r w:rsidRPr="005B7C70">
        <w:rPr>
          <w:rFonts w:ascii="Calibri" w:eastAsia="Calibri" w:hAnsi="Calibri"/>
          <w:szCs w:val="18"/>
        </w:rPr>
        <w:t>Gonzalez, J. E. G.; Mirza-</w:t>
      </w:r>
      <w:proofErr w:type="spellStart"/>
      <w:r w:rsidRPr="005B7C70">
        <w:rPr>
          <w:rFonts w:ascii="Calibri" w:eastAsia="Calibri" w:hAnsi="Calibri"/>
          <w:szCs w:val="18"/>
        </w:rPr>
        <w:t>Rosca</w:t>
      </w:r>
      <w:proofErr w:type="spellEnd"/>
      <w:r w:rsidRPr="005B7C70">
        <w:rPr>
          <w:rFonts w:ascii="Calibri" w:eastAsia="Calibri" w:hAnsi="Calibri"/>
          <w:szCs w:val="18"/>
        </w:rPr>
        <w:t>, J. C.</w:t>
      </w:r>
      <w:proofErr w:type="gramStart"/>
      <w:r w:rsidRPr="005B7C70">
        <w:rPr>
          <w:rFonts w:ascii="Calibri" w:eastAsia="Calibri" w:hAnsi="Calibri"/>
          <w:szCs w:val="18"/>
        </w:rPr>
        <w:t xml:space="preserve">;  </w:t>
      </w:r>
      <w:r w:rsidRPr="005B7C70">
        <w:rPr>
          <w:rFonts w:ascii="Calibri" w:eastAsia="Calibri" w:hAnsi="Calibri"/>
          <w:i/>
          <w:szCs w:val="18"/>
        </w:rPr>
        <w:t>J.</w:t>
      </w:r>
      <w:proofErr w:type="gramEnd"/>
      <w:r w:rsidRPr="005B7C70">
        <w:rPr>
          <w:rFonts w:ascii="Calibri" w:eastAsia="Calibri" w:hAnsi="Calibri"/>
          <w:i/>
          <w:szCs w:val="18"/>
        </w:rPr>
        <w:t xml:space="preserve"> </w:t>
      </w:r>
      <w:proofErr w:type="spellStart"/>
      <w:r w:rsidRPr="005B7C70">
        <w:rPr>
          <w:rFonts w:ascii="Calibri" w:eastAsia="Calibri" w:hAnsi="Calibri"/>
          <w:i/>
          <w:szCs w:val="18"/>
        </w:rPr>
        <w:t>Electroanal</w:t>
      </w:r>
      <w:proofErr w:type="spellEnd"/>
      <w:r w:rsidRPr="005B7C70">
        <w:rPr>
          <w:rFonts w:ascii="Calibri" w:eastAsia="Calibri" w:hAnsi="Calibri"/>
          <w:i/>
          <w:szCs w:val="18"/>
        </w:rPr>
        <w:t xml:space="preserve">. </w:t>
      </w:r>
      <w:proofErr w:type="spellStart"/>
      <w:r w:rsidRPr="005B7C70">
        <w:rPr>
          <w:rFonts w:ascii="Calibri" w:eastAsia="Calibri" w:hAnsi="Calibri"/>
          <w:i/>
          <w:szCs w:val="18"/>
        </w:rPr>
        <w:t>Chem</w:t>
      </w:r>
      <w:proofErr w:type="spellEnd"/>
      <w:r w:rsidRPr="005B7C70">
        <w:rPr>
          <w:rFonts w:ascii="Calibri" w:eastAsia="Calibri" w:hAnsi="Calibri"/>
          <w:szCs w:val="18"/>
        </w:rPr>
        <w:t xml:space="preserve">, </w:t>
      </w:r>
      <w:r w:rsidRPr="005B7C70">
        <w:rPr>
          <w:rFonts w:ascii="Calibri" w:eastAsia="Calibri" w:hAnsi="Calibri"/>
          <w:i/>
          <w:szCs w:val="18"/>
        </w:rPr>
        <w:t>471</w:t>
      </w:r>
      <w:r w:rsidRPr="005B7C70">
        <w:rPr>
          <w:rFonts w:ascii="Calibri" w:eastAsia="Calibri" w:hAnsi="Calibri"/>
          <w:szCs w:val="18"/>
        </w:rPr>
        <w:t>, pp. 109 – 115. 1999.</w:t>
      </w:r>
    </w:p>
    <w:p w14:paraId="74A9A0C7" w14:textId="2A89F8CA" w:rsidR="00F53C7E" w:rsidRDefault="004549FF" w:rsidP="00F53C7E">
      <w:pPr>
        <w:pStyle w:val="Reference"/>
        <w:suppressAutoHyphens/>
        <w:rPr>
          <w:rFonts w:ascii="Calibri" w:eastAsia="Calibri" w:hAnsi="Calibri"/>
          <w:szCs w:val="18"/>
        </w:rPr>
      </w:pPr>
      <w:r>
        <w:rPr>
          <w:rFonts w:ascii="Calibri" w:hAnsi="Calibri" w:cs="Arial"/>
          <w:color w:val="000000"/>
          <w:szCs w:val="18"/>
          <w:lang w:eastAsia="de-DE"/>
        </w:rPr>
        <w:t>5.</w:t>
      </w:r>
      <w:r>
        <w:rPr>
          <w:rFonts w:ascii="Calibri" w:eastAsia="Calibri" w:hAnsi="Calibri"/>
          <w:szCs w:val="18"/>
        </w:rPr>
        <w:t xml:space="preserve">   Joy, D. C. </w:t>
      </w:r>
      <w:r>
        <w:rPr>
          <w:rFonts w:ascii="Calibri" w:eastAsia="Calibri" w:hAnsi="Calibri"/>
          <w:i/>
          <w:szCs w:val="18"/>
        </w:rPr>
        <w:t xml:space="preserve">Materials Science and Technology, </w:t>
      </w:r>
      <w:r>
        <w:rPr>
          <w:rFonts w:ascii="Calibri" w:eastAsia="Calibri" w:hAnsi="Calibri"/>
          <w:szCs w:val="18"/>
        </w:rPr>
        <w:t>1</w:t>
      </w:r>
      <w:r w:rsidRPr="004549FF">
        <w:rPr>
          <w:rFonts w:ascii="Calibri" w:eastAsia="Calibri" w:hAnsi="Calibri"/>
          <w:szCs w:val="18"/>
          <w:vertAlign w:val="superscript"/>
        </w:rPr>
        <w:t>st</w:t>
      </w:r>
      <w:r>
        <w:rPr>
          <w:rFonts w:ascii="Calibri" w:eastAsia="Calibri" w:hAnsi="Calibri"/>
          <w:szCs w:val="18"/>
        </w:rPr>
        <w:t xml:space="preserve"> </w:t>
      </w:r>
      <w:proofErr w:type="spellStart"/>
      <w:proofErr w:type="gramStart"/>
      <w:r>
        <w:rPr>
          <w:rFonts w:ascii="Calibri" w:eastAsia="Calibri" w:hAnsi="Calibri"/>
          <w:szCs w:val="18"/>
        </w:rPr>
        <w:t>ed</w:t>
      </w:r>
      <w:proofErr w:type="spellEnd"/>
      <w:r>
        <w:rPr>
          <w:rFonts w:ascii="Calibri" w:eastAsia="Calibri" w:hAnsi="Calibri"/>
          <w:szCs w:val="18"/>
        </w:rPr>
        <w:t>,;</w:t>
      </w:r>
      <w:proofErr w:type="gramEnd"/>
      <w:r>
        <w:rPr>
          <w:rFonts w:ascii="Calibri" w:eastAsia="Calibri" w:hAnsi="Calibri"/>
          <w:szCs w:val="18"/>
        </w:rPr>
        <w:t xml:space="preserve"> Wiley-VCH Verlag GmbH &amp; Co.: TN; pp. 222 – 248. 2006</w:t>
      </w:r>
    </w:p>
    <w:p w14:paraId="42A8E268" w14:textId="77777777" w:rsidR="007E6E43" w:rsidRDefault="007E6E43" w:rsidP="004549FF">
      <w:pPr>
        <w:pStyle w:val="Reference"/>
        <w:suppressAutoHyphens/>
        <w:ind w:left="0" w:firstLine="0"/>
        <w:rPr>
          <w:rFonts w:ascii="Calibri" w:hAnsi="Calibri" w:cs="Arial"/>
          <w:color w:val="000000"/>
          <w:szCs w:val="18"/>
          <w:lang w:eastAsia="de-DE"/>
        </w:rPr>
      </w:pPr>
      <w:r>
        <w:rPr>
          <w:rFonts w:ascii="Calibri" w:hAnsi="Calibri" w:cs="Arial"/>
          <w:color w:val="000000"/>
          <w:szCs w:val="18"/>
          <w:lang w:eastAsia="de-DE"/>
        </w:rPr>
        <w:t xml:space="preserve">6.   </w:t>
      </w:r>
      <w:proofErr w:type="spellStart"/>
      <w:r w:rsidR="00662F44">
        <w:rPr>
          <w:rFonts w:ascii="Calibri" w:eastAsia="Calibri" w:hAnsi="Calibri"/>
          <w:szCs w:val="18"/>
        </w:rPr>
        <w:t>Shindo</w:t>
      </w:r>
      <w:proofErr w:type="spellEnd"/>
      <w:r w:rsidR="00662F44">
        <w:rPr>
          <w:rFonts w:ascii="Calibri" w:eastAsia="Calibri" w:hAnsi="Calibri"/>
          <w:szCs w:val="18"/>
        </w:rPr>
        <w:t xml:space="preserve">, D.; Oikawa, T. </w:t>
      </w:r>
      <w:r w:rsidR="00662F44" w:rsidRPr="00662F44">
        <w:rPr>
          <w:rFonts w:ascii="Calibri" w:eastAsia="Calibri" w:hAnsi="Calibri"/>
          <w:szCs w:val="18"/>
        </w:rPr>
        <w:t xml:space="preserve"> </w:t>
      </w:r>
      <w:r w:rsidR="00662F44" w:rsidRPr="00662F44">
        <w:rPr>
          <w:rFonts w:ascii="Calibri" w:eastAsia="Calibri" w:hAnsi="Calibri"/>
          <w:i/>
          <w:szCs w:val="18"/>
        </w:rPr>
        <w:t>Analytical Electron Microscopy for Materials Science</w:t>
      </w:r>
      <w:r w:rsidR="00662F44">
        <w:rPr>
          <w:rFonts w:ascii="Calibri" w:eastAsia="Calibri" w:hAnsi="Calibri"/>
          <w:szCs w:val="18"/>
        </w:rPr>
        <w:t>; Springer: Tokyo</w:t>
      </w:r>
      <w:r w:rsidR="00662F44" w:rsidRPr="00662F44">
        <w:rPr>
          <w:rFonts w:ascii="Calibri" w:eastAsia="Calibri" w:hAnsi="Calibri"/>
          <w:szCs w:val="18"/>
        </w:rPr>
        <w:t>;</w:t>
      </w:r>
      <w:r w:rsidR="00662F44">
        <w:rPr>
          <w:rFonts w:ascii="Calibri" w:eastAsia="Calibri" w:hAnsi="Calibri"/>
          <w:szCs w:val="18"/>
        </w:rPr>
        <w:t xml:space="preserve"> pp.</w:t>
      </w:r>
      <w:r w:rsidR="00662F44" w:rsidRPr="00662F44">
        <w:rPr>
          <w:rFonts w:ascii="Calibri" w:eastAsia="Calibri" w:hAnsi="Calibri"/>
          <w:szCs w:val="18"/>
        </w:rPr>
        <w:t xml:space="preserve"> 81 – 102</w:t>
      </w:r>
      <w:r w:rsidR="00662F44">
        <w:rPr>
          <w:rFonts w:ascii="Calibri" w:eastAsia="Calibri" w:hAnsi="Calibri"/>
          <w:szCs w:val="18"/>
        </w:rPr>
        <w:t>. 2002.</w:t>
      </w:r>
    </w:p>
    <w:p w14:paraId="47217257" w14:textId="77777777" w:rsidR="00B619E9" w:rsidRDefault="00B619E9" w:rsidP="004549FF">
      <w:pPr>
        <w:jc w:val="both"/>
        <w:rPr>
          <w:rFonts w:ascii="Calibri" w:hAnsi="Calibri"/>
          <w:color w:val="000000"/>
          <w:sz w:val="18"/>
          <w:szCs w:val="18"/>
          <w:lang w:val="en-US"/>
        </w:rPr>
      </w:pPr>
    </w:p>
    <w:p w14:paraId="4F1059D3" w14:textId="778BBEBE" w:rsidR="004549FF" w:rsidRPr="005B7C70" w:rsidRDefault="004549FF" w:rsidP="004549FF">
      <w:pPr>
        <w:jc w:val="both"/>
        <w:rPr>
          <w:rFonts w:ascii="Calibri" w:hAnsi="Calibri"/>
        </w:rPr>
        <w:sectPr w:rsidR="004549FF" w:rsidRPr="005B7C70" w:rsidSect="00B619E9">
          <w:type w:val="continuous"/>
          <w:pgSz w:w="11906" w:h="16838" w:code="9"/>
          <w:pgMar w:top="1440" w:right="1440" w:bottom="1440" w:left="1800" w:header="709" w:footer="709" w:gutter="0"/>
          <w:cols w:space="708"/>
          <w:docGrid w:linePitch="360"/>
        </w:sectPr>
      </w:pPr>
    </w:p>
    <w:p w14:paraId="4152C4BA" w14:textId="77777777" w:rsidR="003149F2" w:rsidRPr="00575FB1" w:rsidRDefault="003149F2" w:rsidP="004549FF">
      <w:pPr>
        <w:suppressAutoHyphens/>
        <w:jc w:val="both"/>
        <w:rPr>
          <w:rFonts w:ascii="Calibri" w:hAnsi="Calibri"/>
          <w:b/>
          <w:sz w:val="22"/>
          <w:szCs w:val="22"/>
          <w:lang w:val="en-US"/>
        </w:rPr>
      </w:pPr>
      <w:r>
        <w:rPr>
          <w:rFonts w:ascii="Calibri" w:hAnsi="Calibri"/>
          <w:b/>
          <w:lang w:val="en-US"/>
        </w:rPr>
        <w:t xml:space="preserve">Acknowledgements </w:t>
      </w:r>
    </w:p>
    <w:p w14:paraId="1F51DB94" w14:textId="77777777" w:rsidR="003149F2" w:rsidRPr="00575FB1" w:rsidRDefault="003149F2" w:rsidP="004549FF">
      <w:pPr>
        <w:suppressAutoHyphens/>
        <w:jc w:val="both"/>
        <w:rPr>
          <w:rFonts w:ascii="Calibri" w:hAnsi="Calibri"/>
          <w:lang w:val="en-US"/>
        </w:rPr>
      </w:pPr>
      <w:r>
        <w:rPr>
          <w:rFonts w:ascii="Calibri" w:hAnsi="Calibri"/>
          <w:lang w:val="en-US"/>
        </w:rPr>
        <w:t xml:space="preserve">We would like to thank Mathias Steiner, Frederique </w:t>
      </w:r>
      <w:proofErr w:type="spellStart"/>
      <w:r>
        <w:rPr>
          <w:rFonts w:ascii="Calibri" w:hAnsi="Calibri"/>
          <w:lang w:val="en-US"/>
        </w:rPr>
        <w:t>Pellemoine</w:t>
      </w:r>
      <w:proofErr w:type="spellEnd"/>
      <w:r>
        <w:rPr>
          <w:rFonts w:ascii="Calibri" w:hAnsi="Calibri"/>
          <w:lang w:val="en-US"/>
        </w:rPr>
        <w:t xml:space="preserve">, Nicolas </w:t>
      </w:r>
      <w:proofErr w:type="spellStart"/>
      <w:r>
        <w:rPr>
          <w:rFonts w:ascii="Calibri" w:hAnsi="Calibri"/>
          <w:lang w:val="en-US"/>
        </w:rPr>
        <w:t>Dronchi</w:t>
      </w:r>
      <w:proofErr w:type="spellEnd"/>
      <w:r>
        <w:rPr>
          <w:rFonts w:ascii="Calibri" w:hAnsi="Calibri"/>
          <w:lang w:val="en-US"/>
        </w:rPr>
        <w:t xml:space="preserve">, Jason Hart, and Marina Llewellyn for assistance during the experiment and data collection. This research was supported by Michigan State University and the National Superconducting Cyclotron Laboratory NSF-1565546. </w:t>
      </w:r>
    </w:p>
    <w:p w14:paraId="22618599" w14:textId="77777777" w:rsidR="000C5014" w:rsidRDefault="000C5014" w:rsidP="000B7F85">
      <w:pPr>
        <w:jc w:val="both"/>
      </w:pPr>
    </w:p>
    <w:p w14:paraId="124F0757" w14:textId="77777777" w:rsidR="000C5014" w:rsidRDefault="000C5014" w:rsidP="000B7F85">
      <w:pPr>
        <w:jc w:val="both"/>
      </w:pPr>
    </w:p>
    <w:p w14:paraId="7CD95664" w14:textId="77777777" w:rsidR="000C5014" w:rsidRDefault="000C5014" w:rsidP="000B7F85">
      <w:pPr>
        <w:jc w:val="both"/>
      </w:pPr>
    </w:p>
    <w:p w14:paraId="38D4269A" w14:textId="77777777" w:rsidR="000C5014" w:rsidRDefault="000C5014" w:rsidP="000B7F85">
      <w:pPr>
        <w:jc w:val="both"/>
      </w:pPr>
    </w:p>
    <w:p w14:paraId="3DD9A78E" w14:textId="77777777" w:rsidR="000C5014" w:rsidRDefault="000C5014" w:rsidP="000B7F85">
      <w:pPr>
        <w:jc w:val="both"/>
      </w:pPr>
    </w:p>
    <w:p w14:paraId="61FDC29C" w14:textId="77777777" w:rsidR="000C5014" w:rsidRDefault="000C5014" w:rsidP="000B7F85">
      <w:pPr>
        <w:jc w:val="both"/>
      </w:pPr>
    </w:p>
    <w:p w14:paraId="5F1FB436" w14:textId="77777777" w:rsidR="000C5014" w:rsidRDefault="000C5014" w:rsidP="000B7F85">
      <w:pPr>
        <w:jc w:val="both"/>
      </w:pPr>
    </w:p>
    <w:p w14:paraId="5E5157C7" w14:textId="77777777" w:rsidR="003149F2" w:rsidRDefault="003149F2" w:rsidP="000B7F85">
      <w:pPr>
        <w:jc w:val="both"/>
        <w:sectPr w:rsidR="003149F2" w:rsidSect="003149F2">
          <w:type w:val="continuous"/>
          <w:pgSz w:w="11906" w:h="16838" w:code="9"/>
          <w:pgMar w:top="1440" w:right="1440" w:bottom="1440" w:left="1800" w:header="709" w:footer="709" w:gutter="0"/>
          <w:cols w:space="708"/>
          <w:docGrid w:linePitch="360"/>
        </w:sectPr>
      </w:pPr>
    </w:p>
    <w:p w14:paraId="71A1572A" w14:textId="77777777" w:rsidR="000C5014" w:rsidRDefault="000C5014" w:rsidP="000B7F85">
      <w:pPr>
        <w:jc w:val="both"/>
      </w:pPr>
    </w:p>
    <w:p w14:paraId="5599D959" w14:textId="77777777" w:rsidR="000C5014" w:rsidRDefault="000C5014" w:rsidP="000B7F85">
      <w:pPr>
        <w:jc w:val="both"/>
      </w:pPr>
    </w:p>
    <w:p w14:paraId="0A34052D" w14:textId="77777777" w:rsidR="000C5014" w:rsidRDefault="000C5014" w:rsidP="000B7F85">
      <w:pPr>
        <w:jc w:val="both"/>
        <w:sectPr w:rsidR="000C5014" w:rsidSect="000C5014">
          <w:type w:val="continuous"/>
          <w:pgSz w:w="11906" w:h="16838" w:code="9"/>
          <w:pgMar w:top="1440" w:right="1440" w:bottom="1440" w:left="1800" w:header="709" w:footer="709" w:gutter="0"/>
          <w:cols w:num="2" w:space="708"/>
          <w:docGrid w:linePitch="360"/>
        </w:sectPr>
      </w:pPr>
    </w:p>
    <w:p w14:paraId="08B73AA9" w14:textId="77777777" w:rsidR="002674BC" w:rsidRDefault="002674BC" w:rsidP="000B7F85">
      <w:pPr>
        <w:jc w:val="both"/>
      </w:pPr>
    </w:p>
    <w:sectPr w:rsidR="002674BC" w:rsidSect="000C5014">
      <w:type w:val="continuous"/>
      <w:pgSz w:w="11906" w:h="16838" w:code="9"/>
      <w:pgMar w:top="1440" w:right="1440" w:bottom="1440" w:left="180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E8ED4" w14:textId="77777777" w:rsidR="000C5814" w:rsidRDefault="000C5814" w:rsidP="00A9239E">
      <w:r>
        <w:separator/>
      </w:r>
    </w:p>
  </w:endnote>
  <w:endnote w:type="continuationSeparator" w:id="0">
    <w:p w14:paraId="458FFC41" w14:textId="77777777" w:rsidR="000C5814" w:rsidRDefault="000C5814" w:rsidP="00A9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CACA4" w14:textId="77777777" w:rsidR="00227E56" w:rsidRDefault="000C5014">
    <w:pPr>
      <w:pStyle w:val="Footer"/>
    </w:pPr>
    <w:r w:rsidRPr="00575FB1">
      <w:rPr>
        <w:rFonts w:ascii="Calibri" w:hAnsi="Calibri"/>
        <w:sz w:val="18"/>
        <w:szCs w:val="18"/>
        <w:vertAlign w:val="superscript"/>
      </w:rPr>
      <w:t>1</w:t>
    </w:r>
    <w:r w:rsidR="002E19F3">
      <w:rPr>
        <w:rFonts w:ascii="Calibri" w:hAnsi="Calibri"/>
        <w:sz w:val="18"/>
        <w:szCs w:val="18"/>
      </w:rPr>
      <w:t>Hannah Clause,</w:t>
    </w:r>
    <w:r w:rsidRPr="00575FB1">
      <w:rPr>
        <w:rFonts w:ascii="Calibri" w:hAnsi="Calibri"/>
        <w:sz w:val="18"/>
        <w:szCs w:val="18"/>
      </w:rPr>
      <w:t xml:space="preserve"> </w:t>
    </w:r>
    <w:r w:rsidR="002E19F3">
      <w:rPr>
        <w:rFonts w:ascii="Calibri" w:hAnsi="Calibri"/>
        <w:sz w:val="18"/>
        <w:szCs w:val="18"/>
      </w:rPr>
      <w:t>clause@nscl.msu.edu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1407B" w14:textId="77777777" w:rsidR="000C5814" w:rsidRDefault="000C5814" w:rsidP="00A9239E">
      <w:r>
        <w:separator/>
      </w:r>
    </w:p>
  </w:footnote>
  <w:footnote w:type="continuationSeparator" w:id="0">
    <w:p w14:paraId="31826618" w14:textId="77777777" w:rsidR="000C5814" w:rsidRDefault="000C5814" w:rsidP="00A92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autoHyphenation/>
  <w:consecutiveHyphenLimit w:val="4"/>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9E"/>
    <w:rsid w:val="00022C75"/>
    <w:rsid w:val="00024614"/>
    <w:rsid w:val="00033DB5"/>
    <w:rsid w:val="000576E5"/>
    <w:rsid w:val="00081D57"/>
    <w:rsid w:val="000B6775"/>
    <w:rsid w:val="000B7F85"/>
    <w:rsid w:val="000C5014"/>
    <w:rsid w:val="000C5814"/>
    <w:rsid w:val="000F4D79"/>
    <w:rsid w:val="00104C67"/>
    <w:rsid w:val="00225942"/>
    <w:rsid w:val="00227E56"/>
    <w:rsid w:val="002674BC"/>
    <w:rsid w:val="002B45FF"/>
    <w:rsid w:val="002E19F3"/>
    <w:rsid w:val="002F043D"/>
    <w:rsid w:val="003149F2"/>
    <w:rsid w:val="003233B5"/>
    <w:rsid w:val="003C18D0"/>
    <w:rsid w:val="003F55B4"/>
    <w:rsid w:val="0040597A"/>
    <w:rsid w:val="00413B7C"/>
    <w:rsid w:val="004549FF"/>
    <w:rsid w:val="004575CC"/>
    <w:rsid w:val="00464C1C"/>
    <w:rsid w:val="004727CE"/>
    <w:rsid w:val="004A5468"/>
    <w:rsid w:val="004C72E1"/>
    <w:rsid w:val="004E79AA"/>
    <w:rsid w:val="004F56AB"/>
    <w:rsid w:val="0053271B"/>
    <w:rsid w:val="00534A3F"/>
    <w:rsid w:val="00575FB1"/>
    <w:rsid w:val="005A0F47"/>
    <w:rsid w:val="005B7C70"/>
    <w:rsid w:val="005C4232"/>
    <w:rsid w:val="005F58BC"/>
    <w:rsid w:val="006143A6"/>
    <w:rsid w:val="00662F44"/>
    <w:rsid w:val="00667B1C"/>
    <w:rsid w:val="00697375"/>
    <w:rsid w:val="006E6158"/>
    <w:rsid w:val="007016A0"/>
    <w:rsid w:val="0071137D"/>
    <w:rsid w:val="00754AC0"/>
    <w:rsid w:val="007607D3"/>
    <w:rsid w:val="00770B84"/>
    <w:rsid w:val="00791719"/>
    <w:rsid w:val="007E6E43"/>
    <w:rsid w:val="008115E9"/>
    <w:rsid w:val="00827EB5"/>
    <w:rsid w:val="00847D50"/>
    <w:rsid w:val="00926016"/>
    <w:rsid w:val="00932881"/>
    <w:rsid w:val="009A3F64"/>
    <w:rsid w:val="00A36CBF"/>
    <w:rsid w:val="00A9239E"/>
    <w:rsid w:val="00AF016D"/>
    <w:rsid w:val="00B46F03"/>
    <w:rsid w:val="00B619E9"/>
    <w:rsid w:val="00B664A8"/>
    <w:rsid w:val="00BB6BBB"/>
    <w:rsid w:val="00BC3320"/>
    <w:rsid w:val="00CE1E8B"/>
    <w:rsid w:val="00CE4E07"/>
    <w:rsid w:val="00DF1B3C"/>
    <w:rsid w:val="00E422AE"/>
    <w:rsid w:val="00E605A7"/>
    <w:rsid w:val="00E61C4A"/>
    <w:rsid w:val="00EC0C8F"/>
    <w:rsid w:val="00F14614"/>
    <w:rsid w:val="00F51F6F"/>
    <w:rsid w:val="00F53C7E"/>
    <w:rsid w:val="00F60965"/>
    <w:rsid w:val="00F6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049BC9"/>
  <w15:docId w15:val="{269D7684-177E-4DD2-9BB7-C0A53DDD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39E"/>
    <w:rPr>
      <w:rFonts w:ascii="Arial" w:eastAsia="Times New Roman" w:hAnsi="Arial" w:cs="Arial"/>
      <w:lang w:val="de-DE"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rsid w:val="00A9239E"/>
    <w:pPr>
      <w:ind w:left="270" w:hanging="270"/>
      <w:jc w:val="both"/>
    </w:pPr>
    <w:rPr>
      <w:rFonts w:ascii="Times New Roman" w:hAnsi="Times New Roman" w:cs="Times New Roman"/>
      <w:sz w:val="18"/>
      <w:lang w:val="en-US" w:eastAsia="en-US"/>
    </w:rPr>
  </w:style>
  <w:style w:type="paragraph" w:styleId="FootnoteText">
    <w:name w:val="footnote text"/>
    <w:basedOn w:val="Normal"/>
    <w:link w:val="FootnoteTextChar"/>
    <w:uiPriority w:val="99"/>
    <w:semiHidden/>
    <w:unhideWhenUsed/>
    <w:rsid w:val="00A9239E"/>
  </w:style>
  <w:style w:type="character" w:customStyle="1" w:styleId="FootnoteTextChar">
    <w:name w:val="Footnote Text Char"/>
    <w:link w:val="FootnoteText"/>
    <w:uiPriority w:val="99"/>
    <w:semiHidden/>
    <w:rsid w:val="00A9239E"/>
    <w:rPr>
      <w:rFonts w:ascii="Arial" w:eastAsia="Times New Roman" w:hAnsi="Arial" w:cs="Arial"/>
      <w:sz w:val="20"/>
      <w:szCs w:val="20"/>
      <w:lang w:val="de-DE" w:eastAsia="de-DE"/>
    </w:rPr>
  </w:style>
  <w:style w:type="character" w:styleId="FootnoteReference">
    <w:name w:val="footnote reference"/>
    <w:uiPriority w:val="99"/>
    <w:semiHidden/>
    <w:unhideWhenUsed/>
    <w:rsid w:val="00A9239E"/>
    <w:rPr>
      <w:vertAlign w:val="superscript"/>
    </w:rPr>
  </w:style>
  <w:style w:type="table" w:styleId="TableGrid">
    <w:name w:val="Table Grid"/>
    <w:basedOn w:val="TableNormal"/>
    <w:uiPriority w:val="59"/>
    <w:rsid w:val="00F1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146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
    <w:name w:val="Medium Shading 2"/>
    <w:basedOn w:val="TableNormal"/>
    <w:uiPriority w:val="64"/>
    <w:rsid w:val="00F609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0C5014"/>
    <w:pPr>
      <w:tabs>
        <w:tab w:val="center" w:pos="4536"/>
        <w:tab w:val="right" w:pos="9072"/>
      </w:tabs>
    </w:pPr>
  </w:style>
  <w:style w:type="character" w:customStyle="1" w:styleId="HeaderChar">
    <w:name w:val="Header Char"/>
    <w:link w:val="Header"/>
    <w:uiPriority w:val="99"/>
    <w:rsid w:val="000C5014"/>
    <w:rPr>
      <w:rFonts w:ascii="Arial" w:eastAsia="Times New Roman" w:hAnsi="Arial" w:cs="Arial"/>
      <w:sz w:val="20"/>
      <w:szCs w:val="20"/>
      <w:lang w:val="de-DE" w:eastAsia="de-DE"/>
    </w:rPr>
  </w:style>
  <w:style w:type="paragraph" w:styleId="Footer">
    <w:name w:val="footer"/>
    <w:basedOn w:val="Normal"/>
    <w:link w:val="FooterChar"/>
    <w:uiPriority w:val="99"/>
    <w:unhideWhenUsed/>
    <w:rsid w:val="000C5014"/>
    <w:pPr>
      <w:tabs>
        <w:tab w:val="center" w:pos="4536"/>
        <w:tab w:val="right" w:pos="9072"/>
      </w:tabs>
    </w:pPr>
  </w:style>
  <w:style w:type="character" w:customStyle="1" w:styleId="FooterChar">
    <w:name w:val="Footer Char"/>
    <w:link w:val="Footer"/>
    <w:uiPriority w:val="99"/>
    <w:rsid w:val="000C5014"/>
    <w:rPr>
      <w:rFonts w:ascii="Arial" w:eastAsia="Times New Roman" w:hAnsi="Arial" w:cs="Arial"/>
      <w:sz w:val="20"/>
      <w:szCs w:val="20"/>
      <w:lang w:val="de-DE" w:eastAsia="de-DE"/>
    </w:rPr>
  </w:style>
  <w:style w:type="paragraph" w:styleId="BalloonText">
    <w:name w:val="Balloon Text"/>
    <w:basedOn w:val="Normal"/>
    <w:link w:val="BalloonTextChar"/>
    <w:uiPriority w:val="99"/>
    <w:semiHidden/>
    <w:unhideWhenUsed/>
    <w:rsid w:val="000C5014"/>
    <w:rPr>
      <w:rFonts w:ascii="Tahoma" w:hAnsi="Tahoma" w:cs="Tahoma"/>
      <w:sz w:val="16"/>
      <w:szCs w:val="16"/>
    </w:rPr>
  </w:style>
  <w:style w:type="character" w:customStyle="1" w:styleId="BalloonTextChar">
    <w:name w:val="Balloon Text Char"/>
    <w:link w:val="BalloonText"/>
    <w:uiPriority w:val="99"/>
    <w:semiHidden/>
    <w:rsid w:val="000C5014"/>
    <w:rPr>
      <w:rFonts w:ascii="Tahoma" w:eastAsia="Times New Roman" w:hAnsi="Tahoma" w:cs="Tahoma"/>
      <w:sz w:val="16"/>
      <w:szCs w:val="16"/>
      <w:lang w:val="de-DE" w:eastAsia="de-DE"/>
    </w:rPr>
  </w:style>
  <w:style w:type="character" w:styleId="CommentReference">
    <w:name w:val="annotation reference"/>
    <w:uiPriority w:val="99"/>
    <w:semiHidden/>
    <w:unhideWhenUsed/>
    <w:rsid w:val="006143A6"/>
    <w:rPr>
      <w:sz w:val="16"/>
      <w:szCs w:val="16"/>
    </w:rPr>
  </w:style>
  <w:style w:type="paragraph" w:styleId="CommentText">
    <w:name w:val="annotation text"/>
    <w:basedOn w:val="Normal"/>
    <w:link w:val="CommentTextChar"/>
    <w:uiPriority w:val="99"/>
    <w:semiHidden/>
    <w:unhideWhenUsed/>
    <w:rsid w:val="006143A6"/>
  </w:style>
  <w:style w:type="character" w:customStyle="1" w:styleId="CommentTextChar">
    <w:name w:val="Comment Text Char"/>
    <w:link w:val="CommentText"/>
    <w:uiPriority w:val="99"/>
    <w:semiHidden/>
    <w:rsid w:val="006143A6"/>
    <w:rPr>
      <w:rFonts w:ascii="Arial" w:eastAsia="Times New Roman" w:hAnsi="Arial" w:cs="Arial"/>
      <w:lang w:val="de-DE" w:eastAsia="de-DE"/>
    </w:rPr>
  </w:style>
  <w:style w:type="paragraph" w:styleId="CommentSubject">
    <w:name w:val="annotation subject"/>
    <w:basedOn w:val="CommentText"/>
    <w:next w:val="CommentText"/>
    <w:link w:val="CommentSubjectChar"/>
    <w:uiPriority w:val="99"/>
    <w:semiHidden/>
    <w:unhideWhenUsed/>
    <w:rsid w:val="006143A6"/>
    <w:rPr>
      <w:b/>
      <w:bCs/>
    </w:rPr>
  </w:style>
  <w:style w:type="character" w:customStyle="1" w:styleId="CommentSubjectChar">
    <w:name w:val="Comment Subject Char"/>
    <w:link w:val="CommentSubject"/>
    <w:uiPriority w:val="99"/>
    <w:semiHidden/>
    <w:rsid w:val="006143A6"/>
    <w:rPr>
      <w:rFonts w:ascii="Arial" w:eastAsia="Times New Roman" w:hAnsi="Arial" w:cs="Arial"/>
      <w:b/>
      <w:bCs/>
      <w:lang w:val="de-DE" w:eastAsia="de-DE"/>
    </w:rPr>
  </w:style>
  <w:style w:type="paragraph" w:styleId="Caption">
    <w:name w:val="caption"/>
    <w:basedOn w:val="Normal"/>
    <w:next w:val="Normal"/>
    <w:uiPriority w:val="35"/>
    <w:unhideWhenUsed/>
    <w:qFormat/>
    <w:rsid w:val="004E79AA"/>
    <w:rPr>
      <w:b/>
      <w:bCs/>
    </w:rPr>
  </w:style>
  <w:style w:type="character" w:styleId="Hyperlink">
    <w:name w:val="Hyperlink"/>
    <w:uiPriority w:val="99"/>
    <w:unhideWhenUsed/>
    <w:rsid w:val="00A36C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scl.msu.ed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5F61F-1248-482C-A992-959E4B8D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986</Words>
  <Characters>5621</Characters>
  <Application>Microsoft Office Word</Application>
  <DocSecurity>0</DocSecurity>
  <Lines>46</Lines>
  <Paragraphs>13</Paragraphs>
  <ScaleCrop>false</ScaleCrop>
  <HeadingPairs>
    <vt:vector size="6" baseType="variant">
      <vt:variant>
        <vt:lpstr>Title</vt:lpstr>
      </vt:variant>
      <vt:variant>
        <vt:i4>1</vt:i4>
      </vt:variant>
      <vt:variant>
        <vt:lpstr>Título</vt:lpstr>
      </vt:variant>
      <vt:variant>
        <vt:i4>1</vt:i4>
      </vt:variant>
      <vt:variant>
        <vt:lpstr>Název</vt:lpstr>
      </vt:variant>
      <vt:variant>
        <vt:i4>1</vt:i4>
      </vt:variant>
    </vt:vector>
  </HeadingPairs>
  <TitlesOfParts>
    <vt:vector size="3" baseType="lpstr">
      <vt:lpstr/>
      <vt:lpstr/>
      <vt:lpstr/>
    </vt:vector>
  </TitlesOfParts>
  <Company>Microsoft</Company>
  <LinksUpToDate>false</LinksUpToDate>
  <CharactersWithSpaces>6594</CharactersWithSpaces>
  <SharedDoc>false</SharedDoc>
  <HLinks>
    <vt:vector size="6" baseType="variant">
      <vt:variant>
        <vt:i4>6226010</vt:i4>
      </vt:variant>
      <vt:variant>
        <vt:i4>0</vt:i4>
      </vt:variant>
      <vt:variant>
        <vt:i4>0</vt:i4>
      </vt:variant>
      <vt:variant>
        <vt:i4>5</vt:i4>
      </vt:variant>
      <vt:variant>
        <vt:lpwstr>https://www.nscl.msu.edu/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WTTC</dc:creator>
  <cp:keywords/>
  <cp:lastModifiedBy>Hannah Clause</cp:lastModifiedBy>
  <cp:revision>3</cp:revision>
  <dcterms:created xsi:type="dcterms:W3CDTF">2018-04-30T22:40:00Z</dcterms:created>
  <dcterms:modified xsi:type="dcterms:W3CDTF">2018-04-30T22:55:00Z</dcterms:modified>
</cp:coreProperties>
</file>