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017D2" w14:textId="17B7ECDC" w:rsidR="00D063A7" w:rsidRPr="008B5056" w:rsidRDefault="00D57E84" w:rsidP="008B5056">
      <w:pPr>
        <w:jc w:val="center"/>
        <w:rPr>
          <w:i/>
          <w:lang w:val="en-US"/>
        </w:rPr>
      </w:pPr>
      <w:r w:rsidRPr="00D57E84">
        <w:rPr>
          <w:i/>
          <w:lang w:val="en-US"/>
        </w:rPr>
        <w:t>17</w:t>
      </w:r>
      <w:r w:rsidRPr="00D57E84">
        <w:rPr>
          <w:i/>
          <w:vertAlign w:val="superscript"/>
          <w:lang w:val="en-US"/>
        </w:rPr>
        <w:t>th</w:t>
      </w:r>
      <w:r w:rsidRPr="00D57E84">
        <w:rPr>
          <w:i/>
          <w:lang w:val="en-US"/>
        </w:rPr>
        <w:t xml:space="preserve"> International Workshop on </w:t>
      </w:r>
      <w:proofErr w:type="spellStart"/>
      <w:r w:rsidRPr="00D57E84">
        <w:rPr>
          <w:i/>
          <w:lang w:val="en-US"/>
        </w:rPr>
        <w:t>Targetry</w:t>
      </w:r>
      <w:proofErr w:type="spellEnd"/>
      <w:r w:rsidRPr="00D57E84">
        <w:rPr>
          <w:i/>
          <w:lang w:val="en-US"/>
        </w:rPr>
        <w:t xml:space="preserve"> and Target Chemistry </w:t>
      </w:r>
      <w:r w:rsidR="008B5056" w:rsidRPr="008B5056">
        <w:rPr>
          <w:i/>
          <w:lang w:val="en-US"/>
        </w:rPr>
        <w:t>–</w:t>
      </w:r>
      <w:r w:rsidR="00DE3EAA">
        <w:rPr>
          <w:i/>
          <w:lang w:val="en-US"/>
        </w:rPr>
        <w:t xml:space="preserve"> presentation</w:t>
      </w:r>
      <w:r w:rsidR="008B5056" w:rsidRPr="008B5056">
        <w:rPr>
          <w:i/>
          <w:lang w:val="en-US"/>
        </w:rPr>
        <w:t xml:space="preserve"> abstract submission</w:t>
      </w:r>
    </w:p>
    <w:p w14:paraId="652EC28E" w14:textId="3ACE7487" w:rsidR="005631F6" w:rsidRPr="00B8173E" w:rsidRDefault="00DE3EAA" w:rsidP="00D063A7">
      <w:pPr>
        <w:spacing w:after="0"/>
        <w:jc w:val="center"/>
        <w:rPr>
          <w:b/>
          <w:sz w:val="24"/>
          <w:lang w:val="en-US"/>
        </w:rPr>
      </w:pPr>
      <w:r>
        <w:rPr>
          <w:b/>
          <w:sz w:val="24"/>
          <w:lang w:val="en-US"/>
        </w:rPr>
        <w:t>Research on production of</w:t>
      </w:r>
      <w:r w:rsidRPr="00DE3EAA">
        <w:rPr>
          <w:b/>
          <w:sz w:val="24"/>
          <w:lang w:val="en-US"/>
        </w:rPr>
        <w:t xml:space="preserve"> </w:t>
      </w:r>
      <w:r w:rsidRPr="00DE3EAA">
        <w:rPr>
          <w:b/>
          <w:sz w:val="24"/>
          <w:vertAlign w:val="superscript"/>
          <w:lang w:val="en-US"/>
        </w:rPr>
        <w:t>97</w:t>
      </w:r>
      <w:r w:rsidRPr="00DE3EAA">
        <w:rPr>
          <w:b/>
          <w:sz w:val="24"/>
          <w:lang w:val="en-US"/>
        </w:rPr>
        <w:t xml:space="preserve">Ru </w:t>
      </w:r>
      <w:r>
        <w:rPr>
          <w:b/>
          <w:sz w:val="24"/>
          <w:lang w:val="en-US"/>
        </w:rPr>
        <w:t xml:space="preserve">with the use of </w:t>
      </w:r>
      <w:r w:rsidR="00934746" w:rsidRPr="00B8173E">
        <w:rPr>
          <w:b/>
          <w:sz w:val="24"/>
          <w:lang w:val="en-US"/>
        </w:rPr>
        <w:t>Radionuclide Yield Calculator</w:t>
      </w:r>
      <w:r>
        <w:rPr>
          <w:b/>
          <w:sz w:val="24"/>
          <w:lang w:val="en-US"/>
        </w:rPr>
        <w:t xml:space="preserve"> at ARRONAX</w:t>
      </w:r>
    </w:p>
    <w:p w14:paraId="70608279" w14:textId="2656A2DF" w:rsidR="00DE3EAA" w:rsidRPr="00DE3EAA" w:rsidRDefault="00DE3EAA" w:rsidP="00DE3EAA">
      <w:pPr>
        <w:spacing w:after="0"/>
        <w:jc w:val="center"/>
        <w:rPr>
          <w:lang w:val="en-US"/>
        </w:rPr>
      </w:pPr>
      <w:r w:rsidRPr="00DE3EAA">
        <w:rPr>
          <w:lang w:val="en-US"/>
        </w:rPr>
        <w:t>Mateusz Sitarz</w:t>
      </w:r>
      <w:r w:rsidRPr="00DE3EAA">
        <w:rPr>
          <w:vertAlign w:val="superscript"/>
          <w:lang w:val="en-US"/>
        </w:rPr>
        <w:t>1,2</w:t>
      </w:r>
      <w:r w:rsidRPr="00DE3EAA">
        <w:rPr>
          <w:lang w:val="en-US"/>
        </w:rPr>
        <w:t>, Etienne Nigron</w:t>
      </w:r>
      <w:r w:rsidR="006873E9">
        <w:rPr>
          <w:vertAlign w:val="superscript"/>
          <w:lang w:val="en-US"/>
        </w:rPr>
        <w:t>3</w:t>
      </w:r>
      <w:r w:rsidRPr="00DE3EAA">
        <w:rPr>
          <w:lang w:val="en-US"/>
        </w:rPr>
        <w:t>, Arnaud Guertin</w:t>
      </w:r>
      <w:r w:rsidR="006873E9">
        <w:rPr>
          <w:vertAlign w:val="superscript"/>
          <w:lang w:val="en-US"/>
        </w:rPr>
        <w:t>3</w:t>
      </w:r>
      <w:r w:rsidR="0061344A">
        <w:rPr>
          <w:lang w:val="en-US"/>
        </w:rPr>
        <w:t xml:space="preserve">, </w:t>
      </w:r>
      <w:proofErr w:type="spellStart"/>
      <w:r w:rsidR="0061344A">
        <w:rPr>
          <w:lang w:val="en-US"/>
        </w:rPr>
        <w:t>Fé</w:t>
      </w:r>
      <w:r w:rsidRPr="00DE3EAA">
        <w:rPr>
          <w:lang w:val="en-US"/>
        </w:rPr>
        <w:t>rid</w:t>
      </w:r>
      <w:proofErr w:type="spellEnd"/>
      <w:r w:rsidRPr="00DE3EAA">
        <w:rPr>
          <w:lang w:val="en-US"/>
        </w:rPr>
        <w:t xml:space="preserve"> Haddad</w:t>
      </w:r>
      <w:r w:rsidRPr="00DE3EAA">
        <w:rPr>
          <w:vertAlign w:val="superscript"/>
          <w:lang w:val="en-US"/>
        </w:rPr>
        <w:t>1</w:t>
      </w:r>
    </w:p>
    <w:p w14:paraId="417A4143" w14:textId="57D4EFE0" w:rsidR="00DE3EAA" w:rsidRPr="0061344A" w:rsidRDefault="00DE3EAA" w:rsidP="00DE3EAA">
      <w:pPr>
        <w:spacing w:after="0"/>
        <w:jc w:val="center"/>
        <w:outlineLvl w:val="0"/>
        <w:rPr>
          <w:i/>
          <w:lang w:val="en-US"/>
        </w:rPr>
      </w:pPr>
      <w:r w:rsidRPr="0061344A">
        <w:rPr>
          <w:i/>
          <w:vertAlign w:val="superscript"/>
          <w:lang w:val="en-US"/>
        </w:rPr>
        <w:t>1</w:t>
      </w:r>
      <w:r w:rsidRPr="0061344A">
        <w:rPr>
          <w:i/>
          <w:lang w:val="en-US"/>
        </w:rPr>
        <w:t xml:space="preserve"> GIP ARRONAX, France, </w:t>
      </w:r>
      <w:r w:rsidRPr="0061344A">
        <w:rPr>
          <w:i/>
          <w:vertAlign w:val="superscript"/>
          <w:lang w:val="en-US"/>
        </w:rPr>
        <w:t>2</w:t>
      </w:r>
      <w:r w:rsidRPr="0061344A">
        <w:rPr>
          <w:i/>
          <w:lang w:val="en-US"/>
        </w:rPr>
        <w:t xml:space="preserve"> University of Warsaw, Poland</w:t>
      </w:r>
      <w:r w:rsidR="006873E9" w:rsidRPr="0061344A">
        <w:rPr>
          <w:i/>
          <w:lang w:val="en-US"/>
        </w:rPr>
        <w:t xml:space="preserve">, </w:t>
      </w:r>
      <w:r w:rsidR="006873E9" w:rsidRPr="0061344A">
        <w:rPr>
          <w:i/>
          <w:vertAlign w:val="superscript"/>
          <w:lang w:val="en-US"/>
        </w:rPr>
        <w:t>3</w:t>
      </w:r>
      <w:r w:rsidR="006873E9" w:rsidRPr="0061344A">
        <w:rPr>
          <w:i/>
          <w:lang w:val="en-US"/>
        </w:rPr>
        <w:t xml:space="preserve"> SUBATECH laboratory – CNRS/IN2P3, IMT </w:t>
      </w:r>
      <w:proofErr w:type="spellStart"/>
      <w:r w:rsidR="006873E9" w:rsidRPr="0061344A">
        <w:rPr>
          <w:i/>
          <w:lang w:val="en-US"/>
        </w:rPr>
        <w:t>Atlantique</w:t>
      </w:r>
      <w:proofErr w:type="spellEnd"/>
      <w:r w:rsidR="006873E9" w:rsidRPr="0061344A">
        <w:rPr>
          <w:i/>
          <w:lang w:val="en-US"/>
        </w:rPr>
        <w:t>, Nantes University</w:t>
      </w:r>
    </w:p>
    <w:p w14:paraId="34CCFF3D" w14:textId="77777777" w:rsidR="00934746" w:rsidRDefault="00934746" w:rsidP="00B8173E">
      <w:pPr>
        <w:spacing w:after="120"/>
        <w:rPr>
          <w:lang w:val="en-US"/>
        </w:rPr>
      </w:pPr>
    </w:p>
    <w:p w14:paraId="3768892C" w14:textId="76EC418F" w:rsidR="00FA73E4" w:rsidRPr="0099234F" w:rsidRDefault="00816349" w:rsidP="00B8173E">
      <w:pPr>
        <w:spacing w:after="120"/>
        <w:rPr>
          <w:b/>
          <w:lang w:val="en-US"/>
        </w:rPr>
      </w:pPr>
      <w:r>
        <w:rPr>
          <w:b/>
          <w:lang w:val="en-US"/>
        </w:rPr>
        <w:t>Introduction</w:t>
      </w:r>
    </w:p>
    <w:p w14:paraId="0B35ADF2" w14:textId="41B5E53B" w:rsidR="00DE3EAA" w:rsidRDefault="00DE3EAA" w:rsidP="00DE3EAA">
      <w:pPr>
        <w:spacing w:after="120"/>
        <w:jc w:val="both"/>
        <w:rPr>
          <w:lang w:val="en-US"/>
        </w:rPr>
      </w:pPr>
      <w:r>
        <w:rPr>
          <w:lang w:val="en-US"/>
        </w:rPr>
        <w:t xml:space="preserve">Many radioisotopes have </w:t>
      </w:r>
      <w:r w:rsidR="00816349">
        <w:rPr>
          <w:lang w:val="en-US"/>
        </w:rPr>
        <w:t>features</w:t>
      </w:r>
      <w:r>
        <w:rPr>
          <w:lang w:val="en-US"/>
        </w:rPr>
        <w:t xml:space="preserve"> convenient for the nuclear medicine and so they are commonly used for diagnostics or therapy. A lot of them can be produced with the use of the cyclotron, during</w:t>
      </w:r>
      <w:r w:rsidR="00B947A6">
        <w:rPr>
          <w:lang w:val="en-US"/>
        </w:rPr>
        <w:t xml:space="preserve"> the irradiation of the target </w:t>
      </w:r>
      <w:r>
        <w:rPr>
          <w:lang w:val="en-US"/>
        </w:rPr>
        <w:t>with protons, deuterons or alpha particle beams. These irradiations use very high beam intensities and thick targets in order to maximize the production of activity that will be later used in the medical field.</w:t>
      </w:r>
    </w:p>
    <w:p w14:paraId="1D59258E" w14:textId="0EDEF8CE" w:rsidR="00DE3EAA" w:rsidRPr="00DE3EAA" w:rsidRDefault="00DE3EAA" w:rsidP="00B8173E">
      <w:pPr>
        <w:spacing w:after="120"/>
        <w:jc w:val="both"/>
        <w:rPr>
          <w:lang w:val="en-US"/>
        </w:rPr>
      </w:pPr>
      <w:r>
        <w:rPr>
          <w:lang w:val="en-US"/>
        </w:rPr>
        <w:t xml:space="preserve">One of such radioisotope is </w:t>
      </w:r>
      <w:r w:rsidRPr="00DE3EAA">
        <w:rPr>
          <w:vertAlign w:val="superscript"/>
          <w:lang w:val="en-US"/>
        </w:rPr>
        <w:t>97</w:t>
      </w:r>
      <w:r>
        <w:rPr>
          <w:lang w:val="en-US"/>
        </w:rPr>
        <w:t>Ru</w:t>
      </w:r>
      <w:r w:rsidR="00816349">
        <w:rPr>
          <w:lang w:val="en-US"/>
        </w:rPr>
        <w:t xml:space="preserve"> which can be used</w:t>
      </w:r>
      <w:r w:rsidRPr="00DE3EAA">
        <w:rPr>
          <w:lang w:val="en-US"/>
        </w:rPr>
        <w:t xml:space="preserve"> </w:t>
      </w:r>
      <w:r w:rsidR="00B947A6">
        <w:rPr>
          <w:lang w:val="en-US"/>
        </w:rPr>
        <w:t>for</w:t>
      </w:r>
      <w:r w:rsidRPr="00DE3EAA">
        <w:rPr>
          <w:lang w:val="en-US"/>
        </w:rPr>
        <w:t xml:space="preserve"> both diagnostic </w:t>
      </w:r>
      <w:r w:rsidRPr="0061344A">
        <w:rPr>
          <w:lang w:val="en-US"/>
        </w:rPr>
        <w:t>and therapeutic</w:t>
      </w:r>
      <w:r w:rsidRPr="00DE3EAA">
        <w:rPr>
          <w:lang w:val="en-US"/>
        </w:rPr>
        <w:t xml:space="preserve"> purposes due to its </w:t>
      </w:r>
      <w:r w:rsidR="00816349">
        <w:rPr>
          <w:lang w:val="en-US"/>
        </w:rPr>
        <w:t>favorable</w:t>
      </w:r>
      <w:r w:rsidRPr="00DE3EAA">
        <w:rPr>
          <w:lang w:val="en-US"/>
        </w:rPr>
        <w:t xml:space="preserve"> physical </w:t>
      </w:r>
      <w:r w:rsidR="00816349">
        <w:rPr>
          <w:lang w:val="en-US"/>
        </w:rPr>
        <w:t>and chemical properties (</w:t>
      </w:r>
      <w:r w:rsidR="00816349" w:rsidRPr="00DE3EAA">
        <w:rPr>
          <w:lang w:val="en-US"/>
        </w:rPr>
        <w:t>T</w:t>
      </w:r>
      <w:r w:rsidR="00816349" w:rsidRPr="00DE3EAA">
        <w:rPr>
          <w:vertAlign w:val="subscript"/>
          <w:lang w:val="en-US"/>
        </w:rPr>
        <w:t>1/2</w:t>
      </w:r>
      <w:r w:rsidR="00816349" w:rsidRPr="00DE3EAA">
        <w:rPr>
          <w:lang w:val="en-US"/>
        </w:rPr>
        <w:t xml:space="preserve"> = 2.9 d</w:t>
      </w:r>
      <w:r w:rsidR="00816349">
        <w:rPr>
          <w:lang w:val="en-US"/>
        </w:rPr>
        <w:t xml:space="preserve">, </w:t>
      </w:r>
      <w:r w:rsidR="00816349" w:rsidRPr="00816349">
        <w:rPr>
          <w:lang w:val="en-US"/>
        </w:rPr>
        <w:t xml:space="preserve">decay 100% EC with no </w:t>
      </w:r>
      <w:r w:rsidR="00816349">
        <w:t>β</w:t>
      </w:r>
      <w:r w:rsidR="00816349" w:rsidRPr="00816349">
        <w:rPr>
          <w:lang w:val="en-US"/>
        </w:rPr>
        <w:t>+ to contribute to the dose, several degrees of oxidation</w:t>
      </w:r>
      <w:r w:rsidR="00816349">
        <w:rPr>
          <w:lang w:val="en-US"/>
        </w:rPr>
        <w:t xml:space="preserve">, </w:t>
      </w:r>
      <w:r w:rsidR="00816349" w:rsidRPr="00816349">
        <w:rPr>
          <w:lang w:val="en-US"/>
        </w:rPr>
        <w:t xml:space="preserve">more stable compounds compared to the conventional </w:t>
      </w:r>
      <w:r w:rsidR="00816349" w:rsidRPr="00816349">
        <w:rPr>
          <w:vertAlign w:val="superscript"/>
          <w:lang w:val="en-US"/>
        </w:rPr>
        <w:t>99m</w:t>
      </w:r>
      <w:r w:rsidR="00816349" w:rsidRPr="00816349">
        <w:rPr>
          <w:lang w:val="en-US"/>
        </w:rPr>
        <w:t>Tc</w:t>
      </w:r>
      <w:r w:rsidR="00816349">
        <w:rPr>
          <w:lang w:val="en-US"/>
        </w:rPr>
        <w:t>).</w:t>
      </w:r>
    </w:p>
    <w:p w14:paraId="255ED051" w14:textId="77777777" w:rsidR="00DE3EAA" w:rsidRDefault="00DE3EAA" w:rsidP="00B8173E">
      <w:pPr>
        <w:spacing w:after="120"/>
        <w:jc w:val="both"/>
        <w:rPr>
          <w:lang w:val="en-US"/>
        </w:rPr>
      </w:pPr>
    </w:p>
    <w:p w14:paraId="00026925" w14:textId="609BF3FF" w:rsidR="00DE3EAA" w:rsidRPr="009156FB" w:rsidRDefault="00816349" w:rsidP="00B8173E">
      <w:pPr>
        <w:spacing w:after="120"/>
        <w:jc w:val="both"/>
        <w:rPr>
          <w:b/>
          <w:lang w:val="en-US"/>
        </w:rPr>
      </w:pPr>
      <w:r w:rsidRPr="00816349">
        <w:rPr>
          <w:b/>
          <w:lang w:val="en-US"/>
        </w:rPr>
        <w:t>Aim</w:t>
      </w:r>
    </w:p>
    <w:p w14:paraId="130C0C1C" w14:textId="012C8F7E" w:rsidR="009156FB" w:rsidRDefault="008136DC" w:rsidP="00B8173E">
      <w:pPr>
        <w:spacing w:after="120"/>
        <w:jc w:val="both"/>
        <w:rPr>
          <w:lang w:val="en-US"/>
        </w:rPr>
      </w:pPr>
      <w:r>
        <w:rPr>
          <w:lang w:val="en-US"/>
        </w:rPr>
        <w:t xml:space="preserve">During the irradiation, the medical radioisotope is formed via the nuclear reaction with </w:t>
      </w:r>
      <w:r w:rsidR="006873E9">
        <w:rPr>
          <w:lang w:val="en-US"/>
        </w:rPr>
        <w:t>a</w:t>
      </w:r>
      <w:r>
        <w:rPr>
          <w:lang w:val="en-US"/>
        </w:rPr>
        <w:t xml:space="preserve"> certain probability (cross-section) which is the most important factor when planning the production. This probability depends on the target material as well as type and energy of the projectile. </w:t>
      </w:r>
      <w:r w:rsidR="009156FB" w:rsidRPr="009156FB">
        <w:rPr>
          <w:lang w:val="en-US"/>
        </w:rPr>
        <w:t xml:space="preserve">In this work, we focus on the </w:t>
      </w:r>
      <w:proofErr w:type="spellStart"/>
      <w:r w:rsidR="009156FB" w:rsidRPr="009156FB">
        <w:rPr>
          <w:vertAlign w:val="superscript"/>
          <w:lang w:val="en-US"/>
        </w:rPr>
        <w:t>nat</w:t>
      </w:r>
      <w:r w:rsidR="009156FB">
        <w:rPr>
          <w:lang w:val="en-US"/>
        </w:rPr>
        <w:t>Mo</w:t>
      </w:r>
      <w:proofErr w:type="spellEnd"/>
      <w:r w:rsidR="009156FB">
        <w:rPr>
          <w:lang w:val="en-US"/>
        </w:rPr>
        <w:t>(</w:t>
      </w:r>
      <w:proofErr w:type="gramStart"/>
      <w:r w:rsidR="009156FB">
        <w:t>α</w:t>
      </w:r>
      <w:r w:rsidR="009156FB" w:rsidRPr="009156FB">
        <w:rPr>
          <w:lang w:val="en-US"/>
        </w:rPr>
        <w:t>,x</w:t>
      </w:r>
      <w:proofErr w:type="gramEnd"/>
      <w:r w:rsidR="009156FB" w:rsidRPr="009156FB">
        <w:rPr>
          <w:lang w:val="en-US"/>
        </w:rPr>
        <w:t>)</w:t>
      </w:r>
      <w:r w:rsidR="009156FB" w:rsidRPr="009156FB">
        <w:rPr>
          <w:vertAlign w:val="superscript"/>
          <w:lang w:val="en-US"/>
        </w:rPr>
        <w:t>97</w:t>
      </w:r>
      <w:r w:rsidR="009156FB" w:rsidRPr="009156FB">
        <w:rPr>
          <w:lang w:val="en-US"/>
        </w:rPr>
        <w:t xml:space="preserve">Ru </w:t>
      </w:r>
      <w:r w:rsidR="009156FB">
        <w:rPr>
          <w:lang w:val="en-US"/>
        </w:rPr>
        <w:t xml:space="preserve">reaction in order </w:t>
      </w:r>
      <w:r w:rsidR="009156FB" w:rsidRPr="009156FB">
        <w:rPr>
          <w:lang w:val="en-US"/>
        </w:rPr>
        <w:t xml:space="preserve">to extend the available </w:t>
      </w:r>
      <w:r w:rsidR="009156FB">
        <w:rPr>
          <w:lang w:val="en-US"/>
        </w:rPr>
        <w:t xml:space="preserve">cross-section </w:t>
      </w:r>
      <w:r w:rsidR="009156FB" w:rsidRPr="009156FB">
        <w:rPr>
          <w:lang w:val="en-US"/>
        </w:rPr>
        <w:t xml:space="preserve">data above 40 MeV, in coherence with alpha </w:t>
      </w:r>
      <w:r w:rsidR="009156FB">
        <w:rPr>
          <w:lang w:val="en-US"/>
        </w:rPr>
        <w:t>beam available at our facility.</w:t>
      </w:r>
    </w:p>
    <w:p w14:paraId="0E26B521" w14:textId="2B8E85DF" w:rsidR="009156FB" w:rsidRDefault="00BB7A3D" w:rsidP="00B8173E">
      <w:pPr>
        <w:spacing w:after="120"/>
        <w:jc w:val="both"/>
        <w:rPr>
          <w:lang w:val="en-US"/>
        </w:rPr>
      </w:pPr>
      <w:r>
        <w:rPr>
          <w:lang w:val="en-US"/>
        </w:rPr>
        <w:t xml:space="preserve">Our aim was also to develop small, user friendly software that could calculate the production yield of </w:t>
      </w:r>
      <w:r w:rsidR="00D71C04" w:rsidRPr="00D71C04">
        <w:rPr>
          <w:vertAlign w:val="superscript"/>
          <w:lang w:val="en-US"/>
        </w:rPr>
        <w:t>97</w:t>
      </w:r>
      <w:r w:rsidR="00D71C04">
        <w:rPr>
          <w:lang w:val="en-US"/>
        </w:rPr>
        <w:t xml:space="preserve">Ru (and </w:t>
      </w:r>
      <w:r>
        <w:rPr>
          <w:lang w:val="en-US"/>
        </w:rPr>
        <w:t>any</w:t>
      </w:r>
      <w:r w:rsidR="00D71C04">
        <w:rPr>
          <w:lang w:val="en-US"/>
        </w:rPr>
        <w:t xml:space="preserve"> other</w:t>
      </w:r>
      <w:r>
        <w:rPr>
          <w:lang w:val="en-US"/>
        </w:rPr>
        <w:t xml:space="preserve"> radioisotope</w:t>
      </w:r>
      <w:r w:rsidR="00D71C04">
        <w:rPr>
          <w:lang w:val="en-US"/>
        </w:rPr>
        <w:t xml:space="preserve">) on the </w:t>
      </w:r>
      <w:r w:rsidR="005B5769">
        <w:rPr>
          <w:lang w:val="en-US"/>
        </w:rPr>
        <w:t>thick</w:t>
      </w:r>
      <w:r w:rsidR="00D71C04">
        <w:rPr>
          <w:lang w:val="en-US"/>
        </w:rPr>
        <w:t xml:space="preserve"> target,</w:t>
      </w:r>
      <w:r>
        <w:rPr>
          <w:lang w:val="en-US"/>
        </w:rPr>
        <w:t xml:space="preserve"> based on the cross-section data, </w:t>
      </w:r>
      <w:r w:rsidR="00B947A6">
        <w:rPr>
          <w:lang w:val="en-US"/>
        </w:rPr>
        <w:t xml:space="preserve">the </w:t>
      </w:r>
      <w:r>
        <w:rPr>
          <w:lang w:val="en-US"/>
        </w:rPr>
        <w:t>stopping power</w:t>
      </w:r>
      <w:r w:rsidR="00B947A6">
        <w:rPr>
          <w:lang w:val="en-US"/>
        </w:rPr>
        <w:t xml:space="preserve"> of projectile</w:t>
      </w:r>
      <w:r>
        <w:rPr>
          <w:lang w:val="en-US"/>
        </w:rPr>
        <w:t>,</w:t>
      </w:r>
      <w:r w:rsidR="00B947A6">
        <w:rPr>
          <w:lang w:val="en-US"/>
        </w:rPr>
        <w:t xml:space="preserve"> the</w:t>
      </w:r>
      <w:r>
        <w:rPr>
          <w:lang w:val="en-US"/>
        </w:rPr>
        <w:t xml:space="preserve"> target chemical form and </w:t>
      </w:r>
      <w:r w:rsidR="00B947A6">
        <w:rPr>
          <w:lang w:val="en-US"/>
        </w:rPr>
        <w:t xml:space="preserve">the </w:t>
      </w:r>
      <w:r>
        <w:rPr>
          <w:lang w:val="en-US"/>
        </w:rPr>
        <w:t>irradiation parameters.</w:t>
      </w:r>
      <w:r w:rsidR="005B5769">
        <w:rPr>
          <w:lang w:val="en-US"/>
        </w:rPr>
        <w:t xml:space="preserve"> This software is made available to the community on our web-site.</w:t>
      </w:r>
    </w:p>
    <w:p w14:paraId="59BB385B" w14:textId="77777777" w:rsidR="00FA73E4" w:rsidRDefault="00FA73E4" w:rsidP="00B8173E">
      <w:pPr>
        <w:spacing w:after="120"/>
        <w:rPr>
          <w:lang w:val="en-US"/>
        </w:rPr>
      </w:pPr>
    </w:p>
    <w:p w14:paraId="7E6DE5C1" w14:textId="77777777" w:rsidR="005D223A" w:rsidRPr="00B8173E" w:rsidRDefault="005D223A" w:rsidP="00B8173E">
      <w:pPr>
        <w:spacing w:after="120"/>
        <w:rPr>
          <w:b/>
          <w:lang w:val="en-US"/>
        </w:rPr>
      </w:pPr>
      <w:r w:rsidRPr="00B8173E">
        <w:rPr>
          <w:b/>
          <w:lang w:val="en-US"/>
        </w:rPr>
        <w:t>Materials and methods</w:t>
      </w:r>
    </w:p>
    <w:p w14:paraId="10D548EC" w14:textId="59CFDD27" w:rsidR="009156FB" w:rsidRPr="00D71C04" w:rsidRDefault="00D71C04" w:rsidP="00B947A6">
      <w:pPr>
        <w:spacing w:after="120"/>
        <w:jc w:val="both"/>
        <w:rPr>
          <w:lang w:val="en-US"/>
        </w:rPr>
      </w:pPr>
      <w:r>
        <w:rPr>
          <w:lang w:val="en-US"/>
        </w:rPr>
        <w:t xml:space="preserve">To measure the cross-section of </w:t>
      </w:r>
      <w:r w:rsidRPr="009156FB">
        <w:rPr>
          <w:lang w:val="en-US"/>
        </w:rPr>
        <w:t xml:space="preserve">the </w:t>
      </w:r>
      <w:proofErr w:type="spellStart"/>
      <w:r w:rsidRPr="009156FB">
        <w:rPr>
          <w:vertAlign w:val="superscript"/>
          <w:lang w:val="en-US"/>
        </w:rPr>
        <w:t>nat</w:t>
      </w:r>
      <w:r>
        <w:rPr>
          <w:lang w:val="en-US"/>
        </w:rPr>
        <w:t>Mo</w:t>
      </w:r>
      <w:proofErr w:type="spellEnd"/>
      <w:r>
        <w:rPr>
          <w:lang w:val="en-US"/>
        </w:rPr>
        <w:t>(</w:t>
      </w:r>
      <w:proofErr w:type="gramStart"/>
      <w:r>
        <w:t>α</w:t>
      </w:r>
      <w:r w:rsidRPr="009156FB">
        <w:rPr>
          <w:lang w:val="en-US"/>
        </w:rPr>
        <w:t>,x</w:t>
      </w:r>
      <w:proofErr w:type="gramEnd"/>
      <w:r w:rsidRPr="009156FB">
        <w:rPr>
          <w:lang w:val="en-US"/>
        </w:rPr>
        <w:t>)</w:t>
      </w:r>
      <w:r w:rsidRPr="009156FB">
        <w:rPr>
          <w:vertAlign w:val="superscript"/>
          <w:lang w:val="en-US"/>
        </w:rPr>
        <w:t>97</w:t>
      </w:r>
      <w:r w:rsidRPr="009156FB">
        <w:rPr>
          <w:lang w:val="en-US"/>
        </w:rPr>
        <w:t xml:space="preserve">Ru </w:t>
      </w:r>
      <w:r>
        <w:rPr>
          <w:lang w:val="en-US"/>
        </w:rPr>
        <w:t>reaction</w:t>
      </w:r>
      <w:r w:rsidR="006873E9">
        <w:rPr>
          <w:lang w:val="en-US"/>
        </w:rPr>
        <w:t>,</w:t>
      </w:r>
      <w:r>
        <w:rPr>
          <w:lang w:val="en-US"/>
        </w:rPr>
        <w:t xml:space="preserve"> we performed t</w:t>
      </w:r>
      <w:r w:rsidR="009156FB" w:rsidRPr="009156FB">
        <w:rPr>
          <w:lang w:val="en-US"/>
        </w:rPr>
        <w:t xml:space="preserve">he irradiation of </w:t>
      </w:r>
      <w:proofErr w:type="spellStart"/>
      <w:r w:rsidR="009156FB" w:rsidRPr="009156FB">
        <w:rPr>
          <w:vertAlign w:val="superscript"/>
          <w:lang w:val="en-US"/>
        </w:rPr>
        <w:t>nat</w:t>
      </w:r>
      <w:r w:rsidR="009156FB" w:rsidRPr="009156FB">
        <w:rPr>
          <w:lang w:val="en-US"/>
        </w:rPr>
        <w:t>Mo</w:t>
      </w:r>
      <w:proofErr w:type="spellEnd"/>
      <w:r w:rsidR="009156FB" w:rsidRPr="009156FB">
        <w:rPr>
          <w:lang w:val="en-US"/>
        </w:rPr>
        <w:t xml:space="preserve"> stack foils with the </w:t>
      </w:r>
      <w:r w:rsidR="009156FB">
        <w:t>α</w:t>
      </w:r>
      <w:r w:rsidR="009156FB" w:rsidRPr="009156FB">
        <w:rPr>
          <w:lang w:val="en-US"/>
        </w:rPr>
        <w:t>-beam of 67.4</w:t>
      </w:r>
      <w:r>
        <w:rPr>
          <w:lang w:val="en-US"/>
        </w:rPr>
        <w:t xml:space="preserve"> MeV. </w:t>
      </w:r>
      <w:r w:rsidRPr="00D71C04">
        <w:rPr>
          <w:lang w:val="en-US"/>
        </w:rPr>
        <w:t>The energy straggling in the last foil was calculated to be 0.75 MeV. The irradiated foils were measured via gamma-ray spectroscopy techniques.</w:t>
      </w:r>
    </w:p>
    <w:p w14:paraId="59141021" w14:textId="040CC596" w:rsidR="00B8173E" w:rsidRDefault="005D223A" w:rsidP="00B947A6">
      <w:pPr>
        <w:spacing w:after="120"/>
        <w:jc w:val="both"/>
        <w:rPr>
          <w:lang w:val="en-US"/>
        </w:rPr>
      </w:pPr>
      <w:r>
        <w:rPr>
          <w:lang w:val="en-US"/>
        </w:rPr>
        <w:t>Using python programming language, we developed the Radionuclide Yield Calculator (RYC)</w:t>
      </w:r>
      <w:r w:rsidR="00B8173E">
        <w:rPr>
          <w:lang w:val="en-US"/>
        </w:rPr>
        <w:t xml:space="preserve">, </w:t>
      </w:r>
      <w:r>
        <w:rPr>
          <w:lang w:val="en-US"/>
        </w:rPr>
        <w:t>software with GU</w:t>
      </w:r>
      <w:r w:rsidR="002A3B17">
        <w:rPr>
          <w:lang w:val="en-US"/>
        </w:rPr>
        <w:t xml:space="preserve">I </w:t>
      </w:r>
      <w:r w:rsidR="00055AA4">
        <w:rPr>
          <w:lang w:val="en-US"/>
        </w:rPr>
        <w:t>(</w:t>
      </w:r>
      <w:r w:rsidR="00C47981">
        <w:rPr>
          <w:lang w:val="en-US"/>
        </w:rPr>
        <w:t>see Fig. 1</w:t>
      </w:r>
      <w:r w:rsidR="00055AA4">
        <w:rPr>
          <w:lang w:val="en-US"/>
        </w:rPr>
        <w:t xml:space="preserve">) </w:t>
      </w:r>
      <w:r>
        <w:rPr>
          <w:lang w:val="en-US"/>
        </w:rPr>
        <w:t>that can run on Windows.</w:t>
      </w:r>
      <w:r w:rsidR="00B8173E">
        <w:rPr>
          <w:lang w:val="en-US"/>
        </w:rPr>
        <w:t xml:space="preserve"> </w:t>
      </w:r>
      <w:r w:rsidR="00055AA4">
        <w:rPr>
          <w:lang w:val="en-US"/>
        </w:rPr>
        <w:t>It</w:t>
      </w:r>
      <w:r w:rsidR="00D71C04">
        <w:rPr>
          <w:lang w:val="en-US"/>
        </w:rPr>
        <w:t xml:space="preserve"> uses SRIM module to calculate the stopping-power. </w:t>
      </w:r>
      <w:r w:rsidR="00B8173E">
        <w:rPr>
          <w:lang w:val="en-US"/>
        </w:rPr>
        <w:t>After providing the basic irradiation parameters (like projectile type, beam current, target chemical form, radioactive product) the user can easily:</w:t>
      </w:r>
    </w:p>
    <w:p w14:paraId="444D7196" w14:textId="77777777" w:rsidR="00B8173E" w:rsidRDefault="00B8173E" w:rsidP="00B8173E">
      <w:pPr>
        <w:pStyle w:val="ListParagraph"/>
        <w:numPr>
          <w:ilvl w:val="0"/>
          <w:numId w:val="1"/>
        </w:numPr>
        <w:spacing w:after="120"/>
        <w:jc w:val="both"/>
        <w:rPr>
          <w:lang w:val="en-US"/>
        </w:rPr>
      </w:pPr>
      <w:r w:rsidRPr="00B8173E">
        <w:rPr>
          <w:lang w:val="en-US"/>
        </w:rPr>
        <w:t>fit different functions to the cross-section data</w:t>
      </w:r>
    </w:p>
    <w:p w14:paraId="2DF37D5F" w14:textId="79289C2F" w:rsidR="00C47981" w:rsidRPr="00C47981" w:rsidRDefault="00C47981" w:rsidP="00C47981">
      <w:pPr>
        <w:pStyle w:val="ListParagraph"/>
        <w:numPr>
          <w:ilvl w:val="0"/>
          <w:numId w:val="1"/>
        </w:numPr>
        <w:spacing w:after="120"/>
        <w:jc w:val="both"/>
        <w:rPr>
          <w:lang w:val="en-US"/>
        </w:rPr>
      </w:pPr>
      <w:r w:rsidRPr="00B8173E">
        <w:rPr>
          <w:lang w:val="en-US"/>
        </w:rPr>
        <w:t>download the cross-section for the selected production route from TENDL data-base</w:t>
      </w:r>
    </w:p>
    <w:p w14:paraId="6A0B5C89" w14:textId="77777777" w:rsidR="00B8173E" w:rsidRDefault="00B8173E" w:rsidP="00B8173E">
      <w:pPr>
        <w:pStyle w:val="ListParagraph"/>
        <w:numPr>
          <w:ilvl w:val="0"/>
          <w:numId w:val="1"/>
        </w:numPr>
        <w:spacing w:after="120"/>
        <w:jc w:val="both"/>
        <w:rPr>
          <w:lang w:val="en-US"/>
        </w:rPr>
      </w:pPr>
      <w:r>
        <w:rPr>
          <w:lang w:val="en-US"/>
        </w:rPr>
        <w:t>calculate production yield and the activity at the end of bombardment</w:t>
      </w:r>
    </w:p>
    <w:p w14:paraId="50E9D3D4" w14:textId="77777777" w:rsidR="00B8173E" w:rsidRPr="00B8173E" w:rsidRDefault="00B8173E" w:rsidP="00B8173E">
      <w:pPr>
        <w:pStyle w:val="ListParagraph"/>
        <w:numPr>
          <w:ilvl w:val="0"/>
          <w:numId w:val="1"/>
        </w:numPr>
        <w:spacing w:after="120"/>
        <w:jc w:val="both"/>
        <w:rPr>
          <w:lang w:val="en-US"/>
        </w:rPr>
      </w:pPr>
      <w:r>
        <w:rPr>
          <w:lang w:val="en-US"/>
        </w:rPr>
        <w:lastRenderedPageBreak/>
        <w:t>find the possible radioactive contaminants</w:t>
      </w:r>
    </w:p>
    <w:p w14:paraId="2E6B7D49" w14:textId="77777777" w:rsidR="001C2D77" w:rsidRDefault="001C2D77" w:rsidP="00B8173E">
      <w:pPr>
        <w:spacing w:after="120"/>
        <w:rPr>
          <w:lang w:val="en-US"/>
        </w:rPr>
      </w:pPr>
    </w:p>
    <w:p w14:paraId="7CE70E5F" w14:textId="77777777" w:rsidR="00BB7A3D" w:rsidRPr="00BB7A3D" w:rsidRDefault="00BB7A3D" w:rsidP="00BB7A3D">
      <w:pPr>
        <w:rPr>
          <w:b/>
          <w:lang w:val="en-US"/>
        </w:rPr>
      </w:pPr>
      <w:r w:rsidRPr="00BB7A3D">
        <w:rPr>
          <w:b/>
          <w:lang w:val="en-US"/>
        </w:rPr>
        <w:t>Results and discussion</w:t>
      </w:r>
    </w:p>
    <w:p w14:paraId="0C696762" w14:textId="307511B1" w:rsidR="00055AA4" w:rsidRDefault="00055AA4" w:rsidP="00B947A6">
      <w:pPr>
        <w:jc w:val="both"/>
        <w:rPr>
          <w:lang w:val="en-US"/>
        </w:rPr>
      </w:pPr>
      <w:r w:rsidRPr="00055AA4">
        <w:rPr>
          <w:lang w:val="en-US"/>
        </w:rPr>
        <w:t xml:space="preserve">We have measured the cross-section for the </w:t>
      </w:r>
      <w:r>
        <w:t>α</w:t>
      </w:r>
      <w:r w:rsidRPr="00055AA4">
        <w:rPr>
          <w:lang w:val="en-US"/>
        </w:rPr>
        <w:t xml:space="preserve">-induced reactions on </w:t>
      </w:r>
      <w:proofErr w:type="spellStart"/>
      <w:r w:rsidRPr="00055AA4">
        <w:rPr>
          <w:vertAlign w:val="superscript"/>
          <w:lang w:val="en-US"/>
        </w:rPr>
        <w:t>nat</w:t>
      </w:r>
      <w:r w:rsidRPr="00055AA4">
        <w:rPr>
          <w:lang w:val="en-US"/>
        </w:rPr>
        <w:t>Mo</w:t>
      </w:r>
      <w:proofErr w:type="spellEnd"/>
      <w:r w:rsidRPr="00055AA4">
        <w:rPr>
          <w:lang w:val="en-US"/>
        </w:rPr>
        <w:t xml:space="preserve"> in the energy range 67 – 42 MeV</w:t>
      </w:r>
      <w:r w:rsidR="00C47981">
        <w:rPr>
          <w:lang w:val="en-US"/>
        </w:rPr>
        <w:t xml:space="preserve"> (see Fig. 2)</w:t>
      </w:r>
      <w:r w:rsidRPr="00055AA4">
        <w:rPr>
          <w:lang w:val="en-US"/>
        </w:rPr>
        <w:t xml:space="preserve">. </w:t>
      </w:r>
      <w:r w:rsidR="00C47981">
        <w:rPr>
          <w:lang w:val="en-US"/>
        </w:rPr>
        <w:t>Using RYC, we were able to estimate</w:t>
      </w:r>
      <w:r w:rsidRPr="00055AA4">
        <w:rPr>
          <w:lang w:val="en-US"/>
        </w:rPr>
        <w:t xml:space="preserve"> that the irradiation of 250 </w:t>
      </w:r>
      <w:r w:rsidRPr="00055AA4">
        <w:rPr>
          <w:rFonts w:ascii="Calibri" w:hAnsi="Calibri"/>
          <w:lang w:val="en-US"/>
        </w:rPr>
        <w:t>µ</w:t>
      </w:r>
      <w:r w:rsidRPr="00055AA4">
        <w:rPr>
          <w:lang w:val="en-US"/>
        </w:rPr>
        <w:t xml:space="preserve">m </w:t>
      </w:r>
      <w:proofErr w:type="spellStart"/>
      <w:r w:rsidRPr="00055AA4">
        <w:rPr>
          <w:vertAlign w:val="superscript"/>
          <w:lang w:val="en-US"/>
        </w:rPr>
        <w:t>nat</w:t>
      </w:r>
      <w:r w:rsidRPr="00055AA4">
        <w:rPr>
          <w:lang w:val="en-US"/>
        </w:rPr>
        <w:t>Mo</w:t>
      </w:r>
      <w:proofErr w:type="spellEnd"/>
      <w:r w:rsidRPr="00055AA4">
        <w:rPr>
          <w:lang w:val="en-US"/>
        </w:rPr>
        <w:t xml:space="preserve"> with 65 MeV </w:t>
      </w:r>
      <w:r>
        <w:t>α</w:t>
      </w:r>
      <w:r w:rsidRPr="00055AA4">
        <w:rPr>
          <w:lang w:val="en-US"/>
        </w:rPr>
        <w:t xml:space="preserve">-beam will yield around 10 </w:t>
      </w:r>
      <w:proofErr w:type="spellStart"/>
      <w:r w:rsidRPr="00055AA4">
        <w:rPr>
          <w:lang w:val="en-US"/>
        </w:rPr>
        <w:t>MBq</w:t>
      </w:r>
      <w:proofErr w:type="spellEnd"/>
      <w:r w:rsidRPr="00055AA4">
        <w:rPr>
          <w:lang w:val="en-US"/>
        </w:rPr>
        <w:t>/</w:t>
      </w:r>
      <w:r w:rsidRPr="00055AA4">
        <w:rPr>
          <w:rFonts w:ascii="Calibri" w:hAnsi="Calibri"/>
          <w:lang w:val="en-US"/>
        </w:rPr>
        <w:t>µ</w:t>
      </w:r>
      <w:r w:rsidRPr="00055AA4">
        <w:rPr>
          <w:lang w:val="en-US"/>
        </w:rPr>
        <w:t xml:space="preserve">Ah (0.27 </w:t>
      </w:r>
      <w:proofErr w:type="spellStart"/>
      <w:r w:rsidRPr="00055AA4">
        <w:rPr>
          <w:lang w:val="en-US"/>
        </w:rPr>
        <w:t>mCi</w:t>
      </w:r>
      <w:proofErr w:type="spellEnd"/>
      <w:r w:rsidRPr="00055AA4">
        <w:rPr>
          <w:lang w:val="en-US"/>
        </w:rPr>
        <w:t>/</w:t>
      </w:r>
      <w:r w:rsidRPr="00055AA4">
        <w:rPr>
          <w:rFonts w:ascii="Calibri" w:hAnsi="Calibri"/>
          <w:lang w:val="en-US"/>
        </w:rPr>
        <w:t>µ</w:t>
      </w:r>
      <w:r w:rsidRPr="00055AA4">
        <w:rPr>
          <w:lang w:val="en-US"/>
        </w:rPr>
        <w:t xml:space="preserve">Ah) of </w:t>
      </w:r>
      <w:r w:rsidRPr="00055AA4">
        <w:rPr>
          <w:vertAlign w:val="superscript"/>
          <w:lang w:val="en-US"/>
        </w:rPr>
        <w:t>97</w:t>
      </w:r>
      <w:r w:rsidRPr="00055AA4">
        <w:rPr>
          <w:lang w:val="en-US"/>
        </w:rPr>
        <w:t xml:space="preserve">Ru. Most importantly, the use of such high energy prevents the formation of long-lived contaminant </w:t>
      </w:r>
      <w:r w:rsidRPr="00055AA4">
        <w:rPr>
          <w:vertAlign w:val="superscript"/>
          <w:lang w:val="en-US"/>
        </w:rPr>
        <w:t>103</w:t>
      </w:r>
      <w:r w:rsidRPr="00055AA4">
        <w:rPr>
          <w:lang w:val="en-US"/>
        </w:rPr>
        <w:t>Ru (T</w:t>
      </w:r>
      <w:r w:rsidRPr="00055AA4">
        <w:rPr>
          <w:vertAlign w:val="subscript"/>
          <w:lang w:val="en-US"/>
        </w:rPr>
        <w:t>1/2</w:t>
      </w:r>
      <w:r w:rsidRPr="00055AA4">
        <w:rPr>
          <w:lang w:val="en-US"/>
        </w:rPr>
        <w:t xml:space="preserve"> = 39.35 d). Although the yield of 0.27 </w:t>
      </w:r>
      <w:proofErr w:type="spellStart"/>
      <w:r w:rsidRPr="00055AA4">
        <w:rPr>
          <w:lang w:val="en-US"/>
        </w:rPr>
        <w:t>mCi</w:t>
      </w:r>
      <w:proofErr w:type="spellEnd"/>
      <w:r w:rsidRPr="00055AA4">
        <w:rPr>
          <w:lang w:val="en-US"/>
        </w:rPr>
        <w:t>/</w:t>
      </w:r>
      <w:r w:rsidRPr="00055AA4">
        <w:rPr>
          <w:rFonts w:ascii="Calibri" w:hAnsi="Calibri"/>
          <w:lang w:val="en-US"/>
        </w:rPr>
        <w:t>µ</w:t>
      </w:r>
      <w:r w:rsidRPr="00055AA4">
        <w:rPr>
          <w:lang w:val="en-US"/>
        </w:rPr>
        <w:t xml:space="preserve">Ah is lower compared to the </w:t>
      </w:r>
      <w:r w:rsidRPr="00055AA4">
        <w:rPr>
          <w:vertAlign w:val="superscript"/>
          <w:lang w:val="en-US"/>
        </w:rPr>
        <w:t>103</w:t>
      </w:r>
      <w:r w:rsidRPr="00055AA4">
        <w:rPr>
          <w:lang w:val="en-US"/>
        </w:rPr>
        <w:t>Rh(</w:t>
      </w:r>
      <w:proofErr w:type="spellStart"/>
      <w:proofErr w:type="gramStart"/>
      <w:r w:rsidRPr="00055AA4">
        <w:rPr>
          <w:lang w:val="en-US"/>
        </w:rPr>
        <w:t>p,x</w:t>
      </w:r>
      <w:proofErr w:type="spellEnd"/>
      <w:proofErr w:type="gramEnd"/>
      <w:r w:rsidRPr="00055AA4">
        <w:rPr>
          <w:lang w:val="en-US"/>
        </w:rPr>
        <w:t>)</w:t>
      </w:r>
      <w:r w:rsidRPr="00055AA4">
        <w:rPr>
          <w:vertAlign w:val="superscript"/>
          <w:lang w:val="en-US"/>
        </w:rPr>
        <w:t>97</w:t>
      </w:r>
      <w:r w:rsidRPr="00055AA4">
        <w:rPr>
          <w:lang w:val="en-US"/>
        </w:rPr>
        <w:t xml:space="preserve">Ru reaction with around 1.3 </w:t>
      </w:r>
      <w:proofErr w:type="spellStart"/>
      <w:r w:rsidRPr="00055AA4">
        <w:rPr>
          <w:lang w:val="en-US"/>
        </w:rPr>
        <w:t>mCi</w:t>
      </w:r>
      <w:proofErr w:type="spellEnd"/>
      <w:r w:rsidRPr="00055AA4">
        <w:rPr>
          <w:lang w:val="en-US"/>
        </w:rPr>
        <w:t>/</w:t>
      </w:r>
      <w:r w:rsidRPr="00055AA4">
        <w:rPr>
          <w:rFonts w:ascii="Calibri" w:hAnsi="Calibri"/>
          <w:lang w:val="en-US"/>
        </w:rPr>
        <w:t>µ</w:t>
      </w:r>
      <w:r w:rsidRPr="00055AA4">
        <w:rPr>
          <w:lang w:val="en-US"/>
        </w:rPr>
        <w:t>Ah</w:t>
      </w:r>
      <w:r w:rsidR="00C47981">
        <w:rPr>
          <w:lang w:val="en-US"/>
        </w:rPr>
        <w:t xml:space="preserve">, </w:t>
      </w:r>
      <w:r w:rsidRPr="00055AA4">
        <w:rPr>
          <w:lang w:val="en-US"/>
        </w:rPr>
        <w:t xml:space="preserve">it allows to use the cheaper target with better thermal properties. Therefore the method to produce </w:t>
      </w:r>
      <w:r w:rsidRPr="00055AA4">
        <w:rPr>
          <w:vertAlign w:val="superscript"/>
          <w:lang w:val="en-US"/>
        </w:rPr>
        <w:t>97</w:t>
      </w:r>
      <w:r w:rsidRPr="00055AA4">
        <w:rPr>
          <w:lang w:val="en-US"/>
        </w:rPr>
        <w:t xml:space="preserve">Ru via </w:t>
      </w:r>
      <w:proofErr w:type="spellStart"/>
      <w:r w:rsidRPr="00055AA4">
        <w:rPr>
          <w:vertAlign w:val="superscript"/>
          <w:lang w:val="en-US"/>
        </w:rPr>
        <w:t>nat</w:t>
      </w:r>
      <w:r w:rsidRPr="00055AA4">
        <w:rPr>
          <w:lang w:val="en-US"/>
        </w:rPr>
        <w:t>Mo</w:t>
      </w:r>
      <w:proofErr w:type="spellEnd"/>
      <w:r w:rsidRPr="00055AA4">
        <w:rPr>
          <w:lang w:val="en-US"/>
        </w:rPr>
        <w:t>(</w:t>
      </w:r>
      <w:proofErr w:type="gramStart"/>
      <w:r>
        <w:t>α</w:t>
      </w:r>
      <w:r w:rsidRPr="00055AA4">
        <w:rPr>
          <w:lang w:val="en-US"/>
        </w:rPr>
        <w:t>,x</w:t>
      </w:r>
      <w:proofErr w:type="gramEnd"/>
      <w:r w:rsidRPr="00055AA4">
        <w:rPr>
          <w:lang w:val="en-US"/>
        </w:rPr>
        <w:t>) might be considered in certain cases.</w:t>
      </w:r>
    </w:p>
    <w:p w14:paraId="09D332CD" w14:textId="6FD99262" w:rsidR="00C47981" w:rsidRDefault="00C47981" w:rsidP="00A23EA7">
      <w:pPr>
        <w:spacing w:after="120"/>
        <w:jc w:val="both"/>
        <w:rPr>
          <w:lang w:val="en-US"/>
        </w:rPr>
      </w:pPr>
      <w:r>
        <w:rPr>
          <w:lang w:val="en-US"/>
        </w:rPr>
        <w:t xml:space="preserve">We have also verified that </w:t>
      </w:r>
      <w:r w:rsidR="001C2D77">
        <w:rPr>
          <w:lang w:val="en-US"/>
        </w:rPr>
        <w:t xml:space="preserve">RYC can quickly </w:t>
      </w:r>
      <w:r w:rsidR="001C2D77" w:rsidRPr="001C2D77">
        <w:rPr>
          <w:lang w:val="en-US"/>
        </w:rPr>
        <w:t xml:space="preserve">calculate production yield and activity of radioisotopes based on the cross-section </w:t>
      </w:r>
      <w:r w:rsidR="001C2D77">
        <w:rPr>
          <w:lang w:val="en-US"/>
        </w:rPr>
        <w:t xml:space="preserve">data </w:t>
      </w:r>
      <w:r w:rsidR="001C2D77" w:rsidRPr="001C2D77">
        <w:rPr>
          <w:lang w:val="en-US"/>
        </w:rPr>
        <w:t>and irradiation parameters</w:t>
      </w:r>
      <w:r w:rsidR="001C2D77">
        <w:rPr>
          <w:lang w:val="en-US"/>
        </w:rPr>
        <w:t xml:space="preserve">. It is free software </w:t>
      </w:r>
      <w:r w:rsidR="005B5769">
        <w:rPr>
          <w:lang w:val="en-US"/>
        </w:rPr>
        <w:t>available on our website (</w:t>
      </w:r>
      <w:hyperlink r:id="rId5" w:history="1">
        <w:r w:rsidR="00AD0458" w:rsidRPr="002E163B">
          <w:rPr>
            <w:rStyle w:val="Hyperlink"/>
            <w:lang w:val="en-US"/>
          </w:rPr>
          <w:t>http://www.cyclotron-nantes.fr/spip.php?article373</w:t>
        </w:r>
      </w:hyperlink>
      <w:r w:rsidR="005B5769">
        <w:rPr>
          <w:lang w:val="en-US"/>
        </w:rPr>
        <w:t xml:space="preserve">) </w:t>
      </w:r>
      <w:r w:rsidR="001C2D77">
        <w:rPr>
          <w:lang w:val="en-US"/>
        </w:rPr>
        <w:t xml:space="preserve">which is </w:t>
      </w:r>
      <w:r w:rsidR="00B8173E">
        <w:rPr>
          <w:lang w:val="en-US"/>
        </w:rPr>
        <w:t>still</w:t>
      </w:r>
      <w:r w:rsidR="00934746">
        <w:rPr>
          <w:lang w:val="en-US"/>
        </w:rPr>
        <w:t xml:space="preserve"> </w:t>
      </w:r>
      <w:r w:rsidR="00F67D93">
        <w:rPr>
          <w:lang w:val="en-US"/>
        </w:rPr>
        <w:t xml:space="preserve">being developed </w:t>
      </w:r>
      <w:r w:rsidR="00B8173E">
        <w:rPr>
          <w:lang w:val="en-US"/>
        </w:rPr>
        <w:t xml:space="preserve">and improved </w:t>
      </w:r>
      <w:r w:rsidR="00F67D93">
        <w:rPr>
          <w:lang w:val="en-US"/>
        </w:rPr>
        <w:t xml:space="preserve">at </w:t>
      </w:r>
      <w:r w:rsidR="009C50DC">
        <w:rPr>
          <w:lang w:val="en-US"/>
        </w:rPr>
        <w:t xml:space="preserve">the GIP </w:t>
      </w:r>
      <w:r w:rsidR="00F67D93">
        <w:rPr>
          <w:lang w:val="en-US"/>
        </w:rPr>
        <w:t>ARRONAX</w:t>
      </w:r>
      <w:r w:rsidR="00B8173E">
        <w:rPr>
          <w:lang w:val="en-US"/>
        </w:rPr>
        <w:t>.</w:t>
      </w:r>
    </w:p>
    <w:p w14:paraId="69A6D575" w14:textId="77777777" w:rsidR="005A2134" w:rsidRDefault="005A2134" w:rsidP="00A23EA7">
      <w:pPr>
        <w:spacing w:after="120"/>
        <w:jc w:val="both"/>
        <w:rPr>
          <w:lang w:val="en-US"/>
        </w:rPr>
      </w:pPr>
    </w:p>
    <w:p w14:paraId="4057E716" w14:textId="15D032D1" w:rsidR="005A2134" w:rsidRPr="005A2134" w:rsidRDefault="005A2134" w:rsidP="00A23EA7">
      <w:pPr>
        <w:spacing w:after="120"/>
        <w:jc w:val="both"/>
        <w:rPr>
          <w:b/>
          <w:lang w:val="en-US"/>
        </w:rPr>
      </w:pPr>
      <w:r w:rsidRPr="005A2134">
        <w:rPr>
          <w:b/>
          <w:lang w:val="en-US"/>
        </w:rPr>
        <w:t>Acknowledgements</w:t>
      </w:r>
    </w:p>
    <w:p w14:paraId="0748FAF5" w14:textId="09A4840C" w:rsidR="005A2134" w:rsidRDefault="005A2134" w:rsidP="00754B00">
      <w:pPr>
        <w:spacing w:after="120"/>
        <w:jc w:val="both"/>
        <w:rPr>
          <w:lang w:val="en-US"/>
        </w:rPr>
      </w:pPr>
      <w:r w:rsidRPr="005A2134">
        <w:rPr>
          <w:lang w:val="en-US"/>
        </w:rPr>
        <w:t xml:space="preserve">The cyclotron </w:t>
      </w:r>
      <w:proofErr w:type="spellStart"/>
      <w:r w:rsidRPr="005A2134">
        <w:rPr>
          <w:lang w:val="en-US"/>
        </w:rPr>
        <w:t>Arronax</w:t>
      </w:r>
      <w:proofErr w:type="spellEnd"/>
      <w:r w:rsidRPr="005A2134">
        <w:rPr>
          <w:lang w:val="en-US"/>
        </w:rPr>
        <w:t xml:space="preserve"> is supported by CNRS, </w:t>
      </w:r>
      <w:proofErr w:type="spellStart"/>
      <w:r w:rsidRPr="005A2134">
        <w:rPr>
          <w:lang w:val="en-US"/>
        </w:rPr>
        <w:t>Inserm</w:t>
      </w:r>
      <w:proofErr w:type="spellEnd"/>
      <w:r w:rsidRPr="005A2134">
        <w:rPr>
          <w:lang w:val="en-US"/>
        </w:rPr>
        <w:t xml:space="preserve">, </w:t>
      </w:r>
      <w:proofErr w:type="spellStart"/>
      <w:r w:rsidRPr="005A2134">
        <w:rPr>
          <w:lang w:val="en-US"/>
        </w:rPr>
        <w:t>INCa</w:t>
      </w:r>
      <w:proofErr w:type="spellEnd"/>
      <w:r w:rsidRPr="005A2134">
        <w:rPr>
          <w:lang w:val="en-US"/>
        </w:rPr>
        <w:t>, the Nantes University, the Regional Council of Pays de la Loire, local authorities, the French government and the European Union. This work has been, in part, supported by a grant from the French National Agency for Research called "</w:t>
      </w:r>
      <w:proofErr w:type="spellStart"/>
      <w:r w:rsidRPr="005A2134">
        <w:rPr>
          <w:lang w:val="en-US"/>
        </w:rPr>
        <w:t>Investissements</w:t>
      </w:r>
      <w:proofErr w:type="spellEnd"/>
      <w:r w:rsidRPr="005A2134">
        <w:rPr>
          <w:lang w:val="en-US"/>
        </w:rPr>
        <w:t xml:space="preserve"> </w:t>
      </w:r>
      <w:proofErr w:type="spellStart"/>
      <w:r w:rsidRPr="005A2134">
        <w:rPr>
          <w:lang w:val="en-US"/>
        </w:rPr>
        <w:t>d'Avenir</w:t>
      </w:r>
      <w:proofErr w:type="spellEnd"/>
      <w:r w:rsidRPr="005A2134">
        <w:rPr>
          <w:lang w:val="en-US"/>
        </w:rPr>
        <w:t xml:space="preserve">", </w:t>
      </w:r>
      <w:proofErr w:type="spellStart"/>
      <w:r w:rsidRPr="005A2134">
        <w:rPr>
          <w:lang w:val="en-US"/>
        </w:rPr>
        <w:t>Equipex</w:t>
      </w:r>
      <w:proofErr w:type="spellEnd"/>
      <w:r w:rsidRPr="005A2134">
        <w:rPr>
          <w:lang w:val="en-US"/>
        </w:rPr>
        <w:t xml:space="preserve"> </w:t>
      </w:r>
      <w:proofErr w:type="spellStart"/>
      <w:r w:rsidRPr="005A2134">
        <w:rPr>
          <w:lang w:val="en-US"/>
        </w:rPr>
        <w:t>Arronax</w:t>
      </w:r>
      <w:proofErr w:type="spellEnd"/>
      <w:r w:rsidRPr="005A2134">
        <w:rPr>
          <w:lang w:val="en-US"/>
        </w:rPr>
        <w:t xml:space="preserve">-Plus noANR-11-EQPX-0004 and </w:t>
      </w:r>
      <w:proofErr w:type="spellStart"/>
      <w:r w:rsidRPr="005A2134">
        <w:rPr>
          <w:lang w:val="en-US"/>
        </w:rPr>
        <w:t>Labex</w:t>
      </w:r>
      <w:proofErr w:type="spellEnd"/>
      <w:r w:rsidRPr="005A2134">
        <w:rPr>
          <w:lang w:val="en-US"/>
        </w:rPr>
        <w:t xml:space="preserve"> IRON noANR-11-LABX-18-01.</w:t>
      </w:r>
      <w:r w:rsidR="00543708">
        <w:rPr>
          <w:lang w:val="en-US"/>
        </w:rPr>
        <w:t xml:space="preserve"> </w:t>
      </w:r>
      <w:r w:rsidR="00543708" w:rsidRPr="00600149">
        <w:rPr>
          <w:lang w:val="en-US"/>
        </w:rPr>
        <w:t xml:space="preserve">The </w:t>
      </w:r>
      <w:r w:rsidR="00754B00">
        <w:rPr>
          <w:lang w:val="en-US"/>
        </w:rPr>
        <w:t xml:space="preserve">discussions with Jerzy </w:t>
      </w:r>
      <w:proofErr w:type="spellStart"/>
      <w:r w:rsidR="00754B00">
        <w:rPr>
          <w:lang w:val="en-US"/>
        </w:rPr>
        <w:t>Jastrzębski</w:t>
      </w:r>
      <w:proofErr w:type="spellEnd"/>
      <w:r w:rsidR="00754B00">
        <w:rPr>
          <w:lang w:val="en-US"/>
        </w:rPr>
        <w:t xml:space="preserve"> as well as the </w:t>
      </w:r>
      <w:r w:rsidR="00543708" w:rsidRPr="00600149">
        <w:rPr>
          <w:lang w:val="en-US"/>
        </w:rPr>
        <w:t xml:space="preserve">support of the French Government PhD scholarship </w:t>
      </w:r>
      <w:r w:rsidR="00754B00">
        <w:rPr>
          <w:lang w:val="en-US"/>
        </w:rPr>
        <w:t>are</w:t>
      </w:r>
      <w:r w:rsidR="00543708" w:rsidRPr="00600149">
        <w:rPr>
          <w:lang w:val="en-US"/>
        </w:rPr>
        <w:t xml:space="preserve"> acknowledged.</w:t>
      </w:r>
      <w:bookmarkStart w:id="0" w:name="_GoBack"/>
      <w:bookmarkEnd w:id="0"/>
    </w:p>
    <w:p w14:paraId="2710C96F" w14:textId="1D542C73" w:rsidR="00055AA4" w:rsidRDefault="0061344A" w:rsidP="00055AA4">
      <w:pPr>
        <w:spacing w:after="120"/>
        <w:rPr>
          <w:lang w:val="en-US"/>
        </w:rPr>
      </w:pPr>
      <w:r w:rsidRPr="0061344A">
        <w:rPr>
          <w:noProof/>
          <w:lang w:val="en-GB" w:eastAsia="en-GB"/>
        </w:rPr>
        <w:lastRenderedPageBreak/>
        <w:drawing>
          <wp:inline distT="0" distB="0" distL="0" distR="0" wp14:anchorId="4139FE5C" wp14:editId="691B0CEE">
            <wp:extent cx="5760720" cy="6492240"/>
            <wp:effectExtent l="0" t="0" r="508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6492240"/>
                    </a:xfrm>
                    <a:prstGeom prst="rect">
                      <a:avLst/>
                    </a:prstGeom>
                  </pic:spPr>
                </pic:pic>
              </a:graphicData>
            </a:graphic>
          </wp:inline>
        </w:drawing>
      </w:r>
    </w:p>
    <w:p w14:paraId="4A0C7E17" w14:textId="77777777" w:rsidR="00055AA4" w:rsidRDefault="00055AA4" w:rsidP="00055AA4">
      <w:pPr>
        <w:spacing w:after="120"/>
        <w:rPr>
          <w:i/>
          <w:lang w:val="en-US"/>
        </w:rPr>
      </w:pPr>
      <w:r w:rsidRPr="00C47981">
        <w:rPr>
          <w:b/>
          <w:i/>
          <w:lang w:val="en-US"/>
        </w:rPr>
        <w:t>Fig. 1.</w:t>
      </w:r>
      <w:r>
        <w:rPr>
          <w:i/>
          <w:lang w:val="en-US"/>
        </w:rPr>
        <w:t xml:space="preserve"> RYC interface layout</w:t>
      </w:r>
    </w:p>
    <w:p w14:paraId="7F3DEAA9" w14:textId="77777777" w:rsidR="00055AA4" w:rsidRDefault="00055AA4" w:rsidP="00B8173E">
      <w:pPr>
        <w:spacing w:after="120"/>
        <w:rPr>
          <w:lang w:val="en-US"/>
        </w:rPr>
      </w:pPr>
    </w:p>
    <w:p w14:paraId="666B17D8" w14:textId="076A64B4" w:rsidR="005A2134" w:rsidRPr="00754B00" w:rsidRDefault="00C47981" w:rsidP="00B8173E">
      <w:pPr>
        <w:spacing w:after="120"/>
        <w:rPr>
          <w:lang w:val="en-US"/>
        </w:rPr>
      </w:pPr>
      <w:r>
        <w:rPr>
          <w:noProof/>
          <w:lang w:val="en-GB" w:eastAsia="en-GB"/>
        </w:rPr>
        <w:lastRenderedPageBreak/>
        <w:drawing>
          <wp:inline distT="0" distB="0" distL="0" distR="0" wp14:anchorId="6A449770" wp14:editId="279C7927">
            <wp:extent cx="5400675" cy="5400675"/>
            <wp:effectExtent l="0" t="0" r="9525" b="9525"/>
            <wp:docPr id="3" name="Picture 3" descr="C:\Users\M91X8\Desktop\SLCJ-ARRONAX_PhD\6_ekstrapolacje_i_zestawienia_teoria-exp\MAIN_97Ru_komplet\natMo_alfa_WSZYSTKIE_TARCZE\wykres_natMo_a,x_97Ru\cross-section_graph_eks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91X8\Desktop\SLCJ-ARRONAX_PhD\6_ekstrapolacje_i_zestawienia_teoria-exp\MAIN_97Ru_komplet\natMo_alfa_WSZYSTKIE_TARCZE\wykres_natMo_a,x_97Ru\cross-section_graph_ekspo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5400675"/>
                    </a:xfrm>
                    <a:prstGeom prst="rect">
                      <a:avLst/>
                    </a:prstGeom>
                    <a:noFill/>
                    <a:ln>
                      <a:noFill/>
                    </a:ln>
                  </pic:spPr>
                </pic:pic>
              </a:graphicData>
            </a:graphic>
          </wp:inline>
        </w:drawing>
      </w:r>
    </w:p>
    <w:p w14:paraId="06508D69" w14:textId="29E35DEA" w:rsidR="00C47981" w:rsidRPr="00C47981" w:rsidRDefault="00C47981" w:rsidP="00B8173E">
      <w:pPr>
        <w:spacing w:after="120"/>
        <w:rPr>
          <w:i/>
          <w:lang w:val="en-US"/>
        </w:rPr>
      </w:pPr>
      <w:r w:rsidRPr="00C47981">
        <w:rPr>
          <w:b/>
          <w:i/>
          <w:lang w:val="en-US"/>
        </w:rPr>
        <w:t>Fig. 2.</w:t>
      </w:r>
      <w:r w:rsidRPr="00C47981">
        <w:rPr>
          <w:i/>
          <w:lang w:val="en-US"/>
        </w:rPr>
        <w:t xml:space="preserve"> </w:t>
      </w:r>
      <w:proofErr w:type="spellStart"/>
      <w:r w:rsidRPr="00C47981">
        <w:rPr>
          <w:i/>
          <w:vertAlign w:val="superscript"/>
          <w:lang w:val="en-US"/>
        </w:rPr>
        <w:t>nat</w:t>
      </w:r>
      <w:r w:rsidRPr="00C47981">
        <w:rPr>
          <w:i/>
          <w:lang w:val="en-US"/>
        </w:rPr>
        <w:t>Mo</w:t>
      </w:r>
      <w:proofErr w:type="spellEnd"/>
      <w:r w:rsidRPr="00C47981">
        <w:rPr>
          <w:i/>
          <w:lang w:val="en-US"/>
        </w:rPr>
        <w:t>(</w:t>
      </w:r>
      <w:proofErr w:type="gramStart"/>
      <w:r w:rsidRPr="00C47981">
        <w:rPr>
          <w:i/>
        </w:rPr>
        <w:t>α</w:t>
      </w:r>
      <w:r w:rsidRPr="00C47981">
        <w:rPr>
          <w:i/>
          <w:lang w:val="en-US"/>
        </w:rPr>
        <w:t>,x</w:t>
      </w:r>
      <w:proofErr w:type="gramEnd"/>
      <w:r w:rsidRPr="00C47981">
        <w:rPr>
          <w:i/>
          <w:lang w:val="en-US"/>
        </w:rPr>
        <w:t>)</w:t>
      </w:r>
      <w:r w:rsidRPr="00C47981">
        <w:rPr>
          <w:i/>
          <w:vertAlign w:val="superscript"/>
          <w:lang w:val="en-US"/>
        </w:rPr>
        <w:t>97</w:t>
      </w:r>
      <w:r w:rsidRPr="00C47981">
        <w:rPr>
          <w:i/>
          <w:lang w:val="en-US"/>
        </w:rPr>
        <w:t xml:space="preserve">Ru cross-section measured </w:t>
      </w:r>
      <w:r w:rsidR="009C50DC">
        <w:rPr>
          <w:i/>
          <w:lang w:val="en-US"/>
        </w:rPr>
        <w:t>at the GIP</w:t>
      </w:r>
      <w:r w:rsidRPr="00C47981">
        <w:rPr>
          <w:i/>
          <w:lang w:val="en-US"/>
        </w:rPr>
        <w:t xml:space="preserve"> ARRONAX in comparison to other experimental points and TENDL data-base</w:t>
      </w:r>
    </w:p>
    <w:sectPr w:rsidR="00C47981" w:rsidRPr="00C479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E03089"/>
    <w:multiLevelType w:val="hybridMultilevel"/>
    <w:tmpl w:val="749AA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746"/>
    <w:rsid w:val="00055AA4"/>
    <w:rsid w:val="000E4FAD"/>
    <w:rsid w:val="000F5468"/>
    <w:rsid w:val="001C2D77"/>
    <w:rsid w:val="001E22FB"/>
    <w:rsid w:val="001F3525"/>
    <w:rsid w:val="00221CEE"/>
    <w:rsid w:val="00236F5C"/>
    <w:rsid w:val="002A3B17"/>
    <w:rsid w:val="00463B64"/>
    <w:rsid w:val="00543708"/>
    <w:rsid w:val="005631F6"/>
    <w:rsid w:val="005A2134"/>
    <w:rsid w:val="005B5769"/>
    <w:rsid w:val="005D223A"/>
    <w:rsid w:val="0061344A"/>
    <w:rsid w:val="006873E9"/>
    <w:rsid w:val="00754B00"/>
    <w:rsid w:val="007675E5"/>
    <w:rsid w:val="007B3452"/>
    <w:rsid w:val="008136DC"/>
    <w:rsid w:val="00816349"/>
    <w:rsid w:val="008B5056"/>
    <w:rsid w:val="008F35D7"/>
    <w:rsid w:val="009156FB"/>
    <w:rsid w:val="00934746"/>
    <w:rsid w:val="0099234F"/>
    <w:rsid w:val="009C50DC"/>
    <w:rsid w:val="00A23EA7"/>
    <w:rsid w:val="00AD0458"/>
    <w:rsid w:val="00B11322"/>
    <w:rsid w:val="00B8173E"/>
    <w:rsid w:val="00B947A6"/>
    <w:rsid w:val="00BA6B96"/>
    <w:rsid w:val="00BB7A3D"/>
    <w:rsid w:val="00BE2049"/>
    <w:rsid w:val="00C00803"/>
    <w:rsid w:val="00C47981"/>
    <w:rsid w:val="00C51900"/>
    <w:rsid w:val="00D05177"/>
    <w:rsid w:val="00D063A7"/>
    <w:rsid w:val="00D57E84"/>
    <w:rsid w:val="00D71C04"/>
    <w:rsid w:val="00D930E3"/>
    <w:rsid w:val="00DE3EAA"/>
    <w:rsid w:val="00F67D93"/>
    <w:rsid w:val="00FA73E4"/>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810E"/>
  <w15:docId w15:val="{C22677EB-0602-4F09-822D-2657A014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73E"/>
    <w:pPr>
      <w:ind w:left="720"/>
      <w:contextualSpacing/>
    </w:pPr>
  </w:style>
  <w:style w:type="paragraph" w:styleId="BalloonText">
    <w:name w:val="Balloon Text"/>
    <w:basedOn w:val="Normal"/>
    <w:link w:val="BalloonTextChar"/>
    <w:uiPriority w:val="99"/>
    <w:semiHidden/>
    <w:unhideWhenUsed/>
    <w:rsid w:val="00DE3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EAA"/>
    <w:rPr>
      <w:rFonts w:ascii="Tahoma" w:hAnsi="Tahoma" w:cs="Tahoma"/>
      <w:sz w:val="16"/>
      <w:szCs w:val="16"/>
    </w:rPr>
  </w:style>
  <w:style w:type="character" w:styleId="CommentReference">
    <w:name w:val="annotation reference"/>
    <w:basedOn w:val="DefaultParagraphFont"/>
    <w:uiPriority w:val="99"/>
    <w:semiHidden/>
    <w:unhideWhenUsed/>
    <w:rsid w:val="006873E9"/>
    <w:rPr>
      <w:sz w:val="16"/>
      <w:szCs w:val="16"/>
    </w:rPr>
  </w:style>
  <w:style w:type="paragraph" w:styleId="CommentText">
    <w:name w:val="annotation text"/>
    <w:basedOn w:val="Normal"/>
    <w:link w:val="CommentTextChar"/>
    <w:uiPriority w:val="99"/>
    <w:semiHidden/>
    <w:unhideWhenUsed/>
    <w:rsid w:val="006873E9"/>
    <w:pPr>
      <w:spacing w:line="240" w:lineRule="auto"/>
    </w:pPr>
    <w:rPr>
      <w:sz w:val="20"/>
      <w:szCs w:val="20"/>
    </w:rPr>
  </w:style>
  <w:style w:type="character" w:customStyle="1" w:styleId="CommentTextChar">
    <w:name w:val="Comment Text Char"/>
    <w:basedOn w:val="DefaultParagraphFont"/>
    <w:link w:val="CommentText"/>
    <w:uiPriority w:val="99"/>
    <w:semiHidden/>
    <w:rsid w:val="006873E9"/>
    <w:rPr>
      <w:sz w:val="20"/>
      <w:szCs w:val="20"/>
    </w:rPr>
  </w:style>
  <w:style w:type="paragraph" w:styleId="CommentSubject">
    <w:name w:val="annotation subject"/>
    <w:basedOn w:val="CommentText"/>
    <w:next w:val="CommentText"/>
    <w:link w:val="CommentSubjectChar"/>
    <w:uiPriority w:val="99"/>
    <w:semiHidden/>
    <w:unhideWhenUsed/>
    <w:rsid w:val="006873E9"/>
    <w:rPr>
      <w:b/>
      <w:bCs/>
    </w:rPr>
  </w:style>
  <w:style w:type="character" w:customStyle="1" w:styleId="CommentSubjectChar">
    <w:name w:val="Comment Subject Char"/>
    <w:basedOn w:val="CommentTextChar"/>
    <w:link w:val="CommentSubject"/>
    <w:uiPriority w:val="99"/>
    <w:semiHidden/>
    <w:rsid w:val="006873E9"/>
    <w:rPr>
      <w:b/>
      <w:bCs/>
      <w:sz w:val="20"/>
      <w:szCs w:val="20"/>
    </w:rPr>
  </w:style>
  <w:style w:type="character" w:styleId="Hyperlink">
    <w:name w:val="Hyperlink"/>
    <w:basedOn w:val="DefaultParagraphFont"/>
    <w:uiPriority w:val="99"/>
    <w:unhideWhenUsed/>
    <w:rsid w:val="00AD0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2290">
      <w:bodyDiv w:val="1"/>
      <w:marLeft w:val="0"/>
      <w:marRight w:val="0"/>
      <w:marTop w:val="0"/>
      <w:marBottom w:val="0"/>
      <w:divBdr>
        <w:top w:val="none" w:sz="0" w:space="0" w:color="auto"/>
        <w:left w:val="none" w:sz="0" w:space="0" w:color="auto"/>
        <w:bottom w:val="none" w:sz="0" w:space="0" w:color="auto"/>
        <w:right w:val="none" w:sz="0" w:space="0" w:color="auto"/>
      </w:divBdr>
    </w:div>
    <w:div w:id="17851714">
      <w:bodyDiv w:val="1"/>
      <w:marLeft w:val="0"/>
      <w:marRight w:val="0"/>
      <w:marTop w:val="0"/>
      <w:marBottom w:val="0"/>
      <w:divBdr>
        <w:top w:val="none" w:sz="0" w:space="0" w:color="auto"/>
        <w:left w:val="none" w:sz="0" w:space="0" w:color="auto"/>
        <w:bottom w:val="none" w:sz="0" w:space="0" w:color="auto"/>
        <w:right w:val="none" w:sz="0" w:space="0" w:color="auto"/>
      </w:divBdr>
    </w:div>
    <w:div w:id="13479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yclotron-nantes.fr/spip.php?article373" TargetMode="Externa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687</Words>
  <Characters>3917</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Sitarz</dc:creator>
  <cp:lastModifiedBy>Mateusz Sitarz</cp:lastModifiedBy>
  <cp:revision>6</cp:revision>
  <dcterms:created xsi:type="dcterms:W3CDTF">2018-05-16T15:18:00Z</dcterms:created>
  <dcterms:modified xsi:type="dcterms:W3CDTF">2018-05-18T15:42:00Z</dcterms:modified>
</cp:coreProperties>
</file>