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EB2" w:rsidRDefault="00BC7FEC" w:rsidP="00A022C2">
      <w:pPr>
        <w:jc w:val="center"/>
        <w:rPr>
          <w:b/>
          <w:sz w:val="24"/>
          <w:szCs w:val="24"/>
        </w:rPr>
      </w:pPr>
      <w:r w:rsidRPr="00A022C2">
        <w:rPr>
          <w:b/>
          <w:sz w:val="24"/>
          <w:szCs w:val="24"/>
        </w:rPr>
        <w:t xml:space="preserve">Using an </w:t>
      </w:r>
      <w:r w:rsidR="00714D44" w:rsidRPr="00A022C2">
        <w:rPr>
          <w:b/>
          <w:sz w:val="24"/>
          <w:szCs w:val="24"/>
        </w:rPr>
        <w:t>Aqueous Targ</w:t>
      </w:r>
      <w:r w:rsidR="000752F8">
        <w:rPr>
          <w:b/>
          <w:sz w:val="24"/>
          <w:szCs w:val="24"/>
        </w:rPr>
        <w:t xml:space="preserve">et and a Fast Heavy Ion Beam </w:t>
      </w:r>
      <w:r w:rsidR="00D64176">
        <w:rPr>
          <w:b/>
          <w:sz w:val="24"/>
          <w:szCs w:val="24"/>
        </w:rPr>
        <w:t xml:space="preserve">for Radionuclide Production </w:t>
      </w:r>
      <w:r w:rsidR="0058018A" w:rsidRPr="00A022C2">
        <w:rPr>
          <w:b/>
          <w:sz w:val="24"/>
          <w:szCs w:val="24"/>
        </w:rPr>
        <w:t>at a Heavy-Ion Fragmentation Facility</w:t>
      </w:r>
    </w:p>
    <w:p w:rsidR="00A022C2" w:rsidRPr="00A022C2" w:rsidRDefault="00A022C2" w:rsidP="00A022C2">
      <w:pPr>
        <w:jc w:val="center"/>
        <w:rPr>
          <w:sz w:val="20"/>
          <w:szCs w:val="20"/>
        </w:rPr>
      </w:pPr>
      <w:r w:rsidRPr="00A022C2">
        <w:rPr>
          <w:sz w:val="20"/>
          <w:szCs w:val="20"/>
        </w:rPr>
        <w:t>E.P. Abel</w:t>
      </w:r>
      <w:r w:rsidRPr="00A022C2">
        <w:rPr>
          <w:sz w:val="20"/>
          <w:szCs w:val="20"/>
          <w:vertAlign w:val="superscript"/>
        </w:rPr>
        <w:t>a,</w:t>
      </w:r>
      <w:proofErr w:type="gramStart"/>
      <w:r w:rsidRPr="00A022C2">
        <w:rPr>
          <w:sz w:val="20"/>
          <w:szCs w:val="20"/>
          <w:vertAlign w:val="superscript"/>
        </w:rPr>
        <w:t>1</w:t>
      </w:r>
      <w:r w:rsidRPr="00A022C2">
        <w:rPr>
          <w:sz w:val="20"/>
          <w:szCs w:val="20"/>
        </w:rPr>
        <w:t xml:space="preserve"> ,</w:t>
      </w:r>
      <w:proofErr w:type="gramEnd"/>
      <w:r w:rsidRPr="00A022C2">
        <w:rPr>
          <w:sz w:val="20"/>
          <w:szCs w:val="20"/>
        </w:rPr>
        <w:t xml:space="preserve"> H.K. </w:t>
      </w:r>
      <w:proofErr w:type="spellStart"/>
      <w:r w:rsidRPr="00A022C2">
        <w:rPr>
          <w:sz w:val="20"/>
          <w:szCs w:val="20"/>
        </w:rPr>
        <w:t>Clause</w:t>
      </w:r>
      <w:r w:rsidRPr="00A022C2">
        <w:rPr>
          <w:sz w:val="20"/>
          <w:szCs w:val="20"/>
          <w:vertAlign w:val="superscript"/>
        </w:rPr>
        <w:t>a</w:t>
      </w:r>
      <w:proofErr w:type="spellEnd"/>
      <w:r w:rsidRPr="00A022C2">
        <w:rPr>
          <w:sz w:val="20"/>
          <w:szCs w:val="20"/>
        </w:rPr>
        <w:t xml:space="preserve">, G.W. </w:t>
      </w:r>
      <w:proofErr w:type="spellStart"/>
      <w:r w:rsidRPr="00A022C2">
        <w:rPr>
          <w:sz w:val="20"/>
          <w:szCs w:val="20"/>
        </w:rPr>
        <w:t>Severin</w:t>
      </w:r>
      <w:r w:rsidRPr="00A022C2">
        <w:rPr>
          <w:sz w:val="20"/>
          <w:szCs w:val="20"/>
          <w:vertAlign w:val="superscript"/>
        </w:rPr>
        <w:t>a</w:t>
      </w:r>
      <w:proofErr w:type="spellEnd"/>
    </w:p>
    <w:p w:rsidR="00A022C2" w:rsidRPr="00A022C2" w:rsidRDefault="00A022C2" w:rsidP="00A022C2">
      <w:pPr>
        <w:jc w:val="center"/>
        <w:rPr>
          <w:sz w:val="18"/>
          <w:szCs w:val="18"/>
        </w:rPr>
      </w:pPr>
      <w:r w:rsidRPr="00A022C2">
        <w:rPr>
          <w:sz w:val="18"/>
          <w:szCs w:val="18"/>
          <w:vertAlign w:val="superscript"/>
        </w:rPr>
        <w:t>a</w:t>
      </w:r>
      <w:r w:rsidRPr="00A022C2">
        <w:rPr>
          <w:sz w:val="18"/>
          <w:szCs w:val="18"/>
        </w:rPr>
        <w:t xml:space="preserve"> Michigan State University, East Lansing, MI 48915, U.S.A.</w:t>
      </w:r>
    </w:p>
    <w:p w:rsidR="00BC7FEC" w:rsidRDefault="00BC7FEC"/>
    <w:p w:rsidR="00652823" w:rsidRDefault="00A022C2" w:rsidP="00652823">
      <w:pPr>
        <w:rPr>
          <w:b/>
          <w:sz w:val="20"/>
          <w:szCs w:val="20"/>
        </w:rPr>
      </w:pPr>
      <w:r w:rsidRPr="00A022C2">
        <w:rPr>
          <w:b/>
          <w:sz w:val="20"/>
          <w:szCs w:val="20"/>
        </w:rPr>
        <w:t>Introduction</w:t>
      </w:r>
    </w:p>
    <w:p w:rsidR="000752F8" w:rsidRPr="000752F8" w:rsidRDefault="00A022C2" w:rsidP="00652823">
      <w:pPr>
        <w:rPr>
          <w:sz w:val="20"/>
          <w:szCs w:val="20"/>
        </w:rPr>
      </w:pPr>
      <w:r w:rsidRPr="00A022C2">
        <w:rPr>
          <w:sz w:val="20"/>
          <w:szCs w:val="20"/>
        </w:rPr>
        <w:t>Targeted internal radiotherapy is a promising new treatment method for metastatic cancer.</w:t>
      </w:r>
      <w:r>
        <w:rPr>
          <w:sz w:val="20"/>
          <w:szCs w:val="20"/>
        </w:rPr>
        <w:t xml:space="preserve"> </w:t>
      </w:r>
      <w:r w:rsidRPr="00A022C2">
        <w:rPr>
          <w:sz w:val="20"/>
          <w:szCs w:val="20"/>
        </w:rPr>
        <w:t>Several scandium isotopes,</w:t>
      </w:r>
      <w:r>
        <w:rPr>
          <w:sz w:val="20"/>
          <w:szCs w:val="20"/>
        </w:rPr>
        <w:t xml:space="preserve"> </w:t>
      </w:r>
      <w:r w:rsidRPr="00A022C2">
        <w:rPr>
          <w:sz w:val="20"/>
          <w:szCs w:val="20"/>
          <w:vertAlign w:val="superscript"/>
        </w:rPr>
        <w:t>43,44,47</w:t>
      </w:r>
      <w:r w:rsidRPr="00A022C2">
        <w:rPr>
          <w:sz w:val="20"/>
          <w:szCs w:val="20"/>
        </w:rPr>
        <w:t>Sc, could serve as paired diagnostic and therapeutic isotopes</w:t>
      </w:r>
      <w:r>
        <w:rPr>
          <w:sz w:val="20"/>
          <w:szCs w:val="20"/>
        </w:rPr>
        <w:t xml:space="preserve"> </w:t>
      </w:r>
      <w:r w:rsidR="00EE791F">
        <w:rPr>
          <w:sz w:val="20"/>
          <w:szCs w:val="20"/>
        </w:rPr>
        <w:t>for these diseases</w:t>
      </w:r>
      <w:r w:rsidR="00F81D66">
        <w:rPr>
          <w:sz w:val="20"/>
          <w:szCs w:val="20"/>
        </w:rPr>
        <w:t xml:space="preserve"> </w:t>
      </w:r>
      <w:r w:rsidR="00F81D66">
        <w:rPr>
          <w:sz w:val="20"/>
          <w:szCs w:val="20"/>
          <w:vertAlign w:val="superscript"/>
        </w:rPr>
        <w:t>1,2</w:t>
      </w:r>
      <w:r w:rsidR="00EE791F">
        <w:rPr>
          <w:sz w:val="20"/>
          <w:szCs w:val="20"/>
        </w:rPr>
        <w:t>. However,</w:t>
      </w:r>
      <w:r w:rsidRPr="00A022C2">
        <w:rPr>
          <w:sz w:val="20"/>
          <w:szCs w:val="20"/>
        </w:rPr>
        <w:t xml:space="preserve"> an ideal production method for the therapeutic isotope</w:t>
      </w:r>
      <w:r>
        <w:rPr>
          <w:sz w:val="20"/>
          <w:szCs w:val="20"/>
        </w:rPr>
        <w:t xml:space="preserve"> </w:t>
      </w:r>
      <w:r w:rsidRPr="00A022C2">
        <w:rPr>
          <w:sz w:val="20"/>
          <w:szCs w:val="20"/>
          <w:vertAlign w:val="superscript"/>
        </w:rPr>
        <w:t>47</w:t>
      </w:r>
      <w:r w:rsidRPr="00A022C2">
        <w:rPr>
          <w:sz w:val="20"/>
          <w:szCs w:val="20"/>
        </w:rPr>
        <w:t>Sc currently</w:t>
      </w:r>
      <w:r>
        <w:rPr>
          <w:sz w:val="20"/>
          <w:szCs w:val="20"/>
        </w:rPr>
        <w:t xml:space="preserve"> </w:t>
      </w:r>
      <w:r w:rsidRPr="00A022C2">
        <w:rPr>
          <w:sz w:val="20"/>
          <w:szCs w:val="20"/>
        </w:rPr>
        <w:t>has not been found</w:t>
      </w:r>
      <w:r w:rsidR="00F81D66">
        <w:rPr>
          <w:sz w:val="20"/>
          <w:szCs w:val="20"/>
        </w:rPr>
        <w:t xml:space="preserve"> </w:t>
      </w:r>
      <w:r w:rsidR="00F81D66">
        <w:rPr>
          <w:sz w:val="20"/>
          <w:szCs w:val="20"/>
          <w:vertAlign w:val="superscript"/>
        </w:rPr>
        <w:t>3-9</w:t>
      </w:r>
      <w:r w:rsidRPr="00A022C2">
        <w:rPr>
          <w:sz w:val="20"/>
          <w:szCs w:val="20"/>
        </w:rPr>
        <w:t>.  At the National Superconducting Cyclotron Laboratory, we have the</w:t>
      </w:r>
      <w:r>
        <w:rPr>
          <w:sz w:val="20"/>
          <w:szCs w:val="20"/>
        </w:rPr>
        <w:t xml:space="preserve"> </w:t>
      </w:r>
      <w:r w:rsidRPr="00A022C2">
        <w:rPr>
          <w:sz w:val="20"/>
          <w:szCs w:val="20"/>
        </w:rPr>
        <w:t>opportunity to harvest</w:t>
      </w:r>
      <w:r>
        <w:rPr>
          <w:sz w:val="20"/>
          <w:szCs w:val="20"/>
        </w:rPr>
        <w:t xml:space="preserve"> </w:t>
      </w:r>
      <w:r w:rsidRPr="00A022C2">
        <w:rPr>
          <w:sz w:val="20"/>
          <w:szCs w:val="20"/>
          <w:vertAlign w:val="superscript"/>
        </w:rPr>
        <w:t>47</w:t>
      </w:r>
      <w:r w:rsidRPr="00A022C2">
        <w:rPr>
          <w:sz w:val="20"/>
          <w:szCs w:val="20"/>
        </w:rPr>
        <w:t xml:space="preserve">Ca when </w:t>
      </w:r>
      <w:r w:rsidR="00C57467">
        <w:rPr>
          <w:sz w:val="20"/>
          <w:szCs w:val="20"/>
        </w:rPr>
        <w:t>the</w:t>
      </w:r>
      <w:r>
        <w:rPr>
          <w:sz w:val="20"/>
          <w:szCs w:val="20"/>
        </w:rPr>
        <w:t xml:space="preserve"> </w:t>
      </w:r>
      <w:r w:rsidRPr="00A022C2">
        <w:rPr>
          <w:sz w:val="20"/>
          <w:szCs w:val="20"/>
          <w:vertAlign w:val="superscript"/>
        </w:rPr>
        <w:t>48</w:t>
      </w:r>
      <w:r w:rsidRPr="00A022C2">
        <w:rPr>
          <w:sz w:val="20"/>
          <w:szCs w:val="20"/>
        </w:rPr>
        <w:t>Ca primary beam is run to produce a user-specified secondary radioactive beam. Much of this primary beam goes unreacted and is collected</w:t>
      </w:r>
      <w:r>
        <w:rPr>
          <w:sz w:val="20"/>
          <w:szCs w:val="20"/>
        </w:rPr>
        <w:t xml:space="preserve"> </w:t>
      </w:r>
      <w:r w:rsidRPr="00A022C2">
        <w:rPr>
          <w:sz w:val="20"/>
          <w:szCs w:val="20"/>
        </w:rPr>
        <w:t>in beam stops. The</w:t>
      </w:r>
      <w:r>
        <w:rPr>
          <w:sz w:val="20"/>
          <w:szCs w:val="20"/>
        </w:rPr>
        <w:t xml:space="preserve"> </w:t>
      </w:r>
      <w:r w:rsidRPr="00A022C2">
        <w:rPr>
          <w:sz w:val="20"/>
          <w:szCs w:val="20"/>
          <w:vertAlign w:val="superscript"/>
        </w:rPr>
        <w:t>48</w:t>
      </w:r>
      <w:r w:rsidRPr="00A022C2">
        <w:rPr>
          <w:sz w:val="20"/>
          <w:szCs w:val="20"/>
        </w:rPr>
        <w:t>Ca primary beam produces</w:t>
      </w:r>
      <w:r>
        <w:rPr>
          <w:sz w:val="20"/>
          <w:szCs w:val="20"/>
        </w:rPr>
        <w:t xml:space="preserve"> </w:t>
      </w:r>
      <w:r w:rsidRPr="00A022C2">
        <w:rPr>
          <w:sz w:val="20"/>
          <w:szCs w:val="20"/>
          <w:vertAlign w:val="superscript"/>
        </w:rPr>
        <w:t>47</w:t>
      </w:r>
      <w:r w:rsidRPr="00A022C2">
        <w:rPr>
          <w:sz w:val="20"/>
          <w:szCs w:val="20"/>
        </w:rPr>
        <w:t>Ca as</w:t>
      </w:r>
      <w:r w:rsidR="00D64176">
        <w:rPr>
          <w:sz w:val="20"/>
          <w:szCs w:val="20"/>
        </w:rPr>
        <w:t xml:space="preserve"> one of</w:t>
      </w:r>
      <w:r w:rsidRPr="00A022C2">
        <w:rPr>
          <w:sz w:val="20"/>
          <w:szCs w:val="20"/>
        </w:rPr>
        <w:t xml:space="preserve"> the most abundant fragment</w:t>
      </w:r>
      <w:r w:rsidR="00D64176">
        <w:rPr>
          <w:sz w:val="20"/>
          <w:szCs w:val="20"/>
        </w:rPr>
        <w:t>s</w:t>
      </w:r>
      <w:r w:rsidRPr="00A022C2">
        <w:rPr>
          <w:sz w:val="20"/>
          <w:szCs w:val="20"/>
        </w:rPr>
        <w:t xml:space="preserve"> when the</w:t>
      </w:r>
      <w:r>
        <w:rPr>
          <w:sz w:val="20"/>
          <w:szCs w:val="20"/>
        </w:rPr>
        <w:t xml:space="preserve"> </w:t>
      </w:r>
      <w:r w:rsidRPr="00A022C2">
        <w:rPr>
          <w:sz w:val="20"/>
          <w:szCs w:val="20"/>
        </w:rPr>
        <w:t xml:space="preserve">beam is stopped in a water target. </w:t>
      </w:r>
      <w:r w:rsidR="000752F8">
        <w:rPr>
          <w:sz w:val="20"/>
          <w:szCs w:val="20"/>
        </w:rPr>
        <w:t xml:space="preserve">The collection of </w:t>
      </w:r>
      <w:r w:rsidR="000752F8">
        <w:rPr>
          <w:sz w:val="20"/>
          <w:szCs w:val="20"/>
          <w:vertAlign w:val="superscript"/>
        </w:rPr>
        <w:t>47</w:t>
      </w:r>
      <w:r w:rsidR="000752F8">
        <w:rPr>
          <w:sz w:val="20"/>
          <w:szCs w:val="20"/>
        </w:rPr>
        <w:t>Ca will allow for a clean separation</w:t>
      </w:r>
      <w:r w:rsidR="00810B84">
        <w:rPr>
          <w:sz w:val="20"/>
          <w:szCs w:val="20"/>
        </w:rPr>
        <w:t xml:space="preserve"> from the aqueous mix of ions produced</w:t>
      </w:r>
      <w:r w:rsidR="000752F8">
        <w:rPr>
          <w:sz w:val="20"/>
          <w:szCs w:val="20"/>
        </w:rPr>
        <w:t xml:space="preserve"> and the production of </w:t>
      </w:r>
      <w:r w:rsidR="000752F8">
        <w:rPr>
          <w:sz w:val="20"/>
          <w:szCs w:val="20"/>
          <w:vertAlign w:val="superscript"/>
        </w:rPr>
        <w:t>47</w:t>
      </w:r>
      <w:r w:rsidR="000752F8">
        <w:rPr>
          <w:sz w:val="20"/>
          <w:szCs w:val="20"/>
        </w:rPr>
        <w:t xml:space="preserve">Sc using a </w:t>
      </w:r>
      <w:r w:rsidR="00810B84">
        <w:rPr>
          <w:sz w:val="20"/>
          <w:szCs w:val="20"/>
          <w:vertAlign w:val="superscript"/>
        </w:rPr>
        <w:t>47</w:t>
      </w:r>
      <w:r w:rsidR="00810B84">
        <w:rPr>
          <w:sz w:val="20"/>
          <w:szCs w:val="20"/>
        </w:rPr>
        <w:t>Ca/</w:t>
      </w:r>
      <w:r w:rsidR="00810B84">
        <w:rPr>
          <w:sz w:val="20"/>
          <w:szCs w:val="20"/>
          <w:vertAlign w:val="superscript"/>
        </w:rPr>
        <w:t>47</w:t>
      </w:r>
      <w:r w:rsidR="00810B84">
        <w:rPr>
          <w:sz w:val="20"/>
          <w:szCs w:val="20"/>
        </w:rPr>
        <w:t xml:space="preserve">Sc </w:t>
      </w:r>
      <w:r w:rsidR="000752F8">
        <w:rPr>
          <w:sz w:val="20"/>
          <w:szCs w:val="20"/>
        </w:rPr>
        <w:t>generator.</w:t>
      </w:r>
    </w:p>
    <w:p w:rsidR="00A022C2" w:rsidRPr="00810B84" w:rsidRDefault="00A022C2" w:rsidP="00652823">
      <w:pPr>
        <w:rPr>
          <w:sz w:val="20"/>
          <w:szCs w:val="20"/>
        </w:rPr>
      </w:pPr>
      <w:r w:rsidRPr="00A022C2">
        <w:rPr>
          <w:sz w:val="20"/>
          <w:szCs w:val="20"/>
        </w:rPr>
        <w:t>Current radiochemistry efforts at the NSCL involve making</w:t>
      </w:r>
      <w:r>
        <w:rPr>
          <w:sz w:val="20"/>
          <w:szCs w:val="20"/>
        </w:rPr>
        <w:t xml:space="preserve"> </w:t>
      </w:r>
      <w:r w:rsidRPr="00A022C2">
        <w:rPr>
          <w:sz w:val="20"/>
          <w:szCs w:val="20"/>
        </w:rPr>
        <w:t>a beam blocker system in which radionuclides</w:t>
      </w:r>
      <w:r w:rsidR="00D64176">
        <w:rPr>
          <w:sz w:val="20"/>
          <w:szCs w:val="20"/>
        </w:rPr>
        <w:t xml:space="preserve"> such as </w:t>
      </w:r>
      <w:r w:rsidR="00D64176">
        <w:rPr>
          <w:sz w:val="20"/>
          <w:szCs w:val="20"/>
          <w:vertAlign w:val="superscript"/>
        </w:rPr>
        <w:t>47</w:t>
      </w:r>
      <w:r w:rsidR="00D64176">
        <w:rPr>
          <w:sz w:val="20"/>
          <w:szCs w:val="20"/>
        </w:rPr>
        <w:t>Ca</w:t>
      </w:r>
      <w:r w:rsidRPr="00A022C2">
        <w:rPr>
          <w:sz w:val="20"/>
          <w:szCs w:val="20"/>
        </w:rPr>
        <w:t xml:space="preserve"> are produced from the implanted primary beam</w:t>
      </w:r>
      <w:r>
        <w:rPr>
          <w:sz w:val="20"/>
          <w:szCs w:val="20"/>
        </w:rPr>
        <w:t xml:space="preserve"> </w:t>
      </w:r>
      <w:r w:rsidRPr="00A022C2">
        <w:rPr>
          <w:sz w:val="20"/>
          <w:szCs w:val="20"/>
        </w:rPr>
        <w:t>in the beam stop cooling water.</w:t>
      </w:r>
      <w:r w:rsidR="000752F8">
        <w:rPr>
          <w:sz w:val="20"/>
          <w:szCs w:val="20"/>
        </w:rPr>
        <w:t xml:space="preserve"> A preliminary experiment was run at the NSCL using the most recent beam blocker system design. This experiment demonstrated the production of radionuclides in the aqueous target and the collection of these </w:t>
      </w:r>
      <w:r w:rsidR="00D64176">
        <w:rPr>
          <w:sz w:val="20"/>
          <w:szCs w:val="20"/>
        </w:rPr>
        <w:t>ionic species</w:t>
      </w:r>
      <w:r w:rsidR="000752F8">
        <w:rPr>
          <w:sz w:val="20"/>
          <w:szCs w:val="20"/>
        </w:rPr>
        <w:t xml:space="preserve"> on ion exchange resins. In addition, this experiment provided information on the rate of corrosion of the target </w:t>
      </w:r>
      <w:r w:rsidR="00810B84">
        <w:rPr>
          <w:sz w:val="20"/>
          <w:szCs w:val="20"/>
        </w:rPr>
        <w:t>window</w:t>
      </w:r>
      <w:r w:rsidR="000752F8">
        <w:rPr>
          <w:sz w:val="20"/>
          <w:szCs w:val="20"/>
        </w:rPr>
        <w:t xml:space="preserve"> material from a radiotracer analysis.</w:t>
      </w:r>
    </w:p>
    <w:p w:rsidR="00A022C2" w:rsidRPr="00A022C2" w:rsidRDefault="00A022C2" w:rsidP="00652823">
      <w:pPr>
        <w:rPr>
          <w:sz w:val="20"/>
          <w:szCs w:val="20"/>
        </w:rPr>
      </w:pPr>
      <w:r w:rsidRPr="00A022C2">
        <w:rPr>
          <w:b/>
          <w:sz w:val="20"/>
          <w:szCs w:val="20"/>
        </w:rPr>
        <w:t>Material and Methods</w:t>
      </w:r>
    </w:p>
    <w:p w:rsidR="003835CF" w:rsidRDefault="000136EB" w:rsidP="00652823">
      <w:pPr>
        <w:rPr>
          <w:sz w:val="20"/>
          <w:szCs w:val="20"/>
        </w:rPr>
      </w:pPr>
      <w:r>
        <w:rPr>
          <w:b/>
          <w:noProof/>
          <w:sz w:val="20"/>
          <w:szCs w:val="20"/>
        </w:rPr>
        <w:drawing>
          <wp:anchor distT="0" distB="0" distL="114300" distR="114300" simplePos="0" relativeHeight="251659264" behindDoc="0" locked="0" layoutInCell="1" allowOverlap="1" wp14:anchorId="76701755" wp14:editId="453BFFF4">
            <wp:simplePos x="0" y="0"/>
            <wp:positionH relativeFrom="margin">
              <wp:posOffset>1399540</wp:posOffset>
            </wp:positionH>
            <wp:positionV relativeFrom="paragraph">
              <wp:posOffset>1379220</wp:posOffset>
            </wp:positionV>
            <wp:extent cx="2037080" cy="1711960"/>
            <wp:effectExtent l="29210" t="46990" r="30480" b="304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esting system box.JPG"/>
                    <pic:cNvPicPr/>
                  </pic:nvPicPr>
                  <pic:blipFill rotWithShape="1">
                    <a:blip r:embed="rId7" cstate="print">
                      <a:extLst>
                        <a:ext uri="{28A0092B-C50C-407E-A947-70E740481C1C}">
                          <a14:useLocalDpi xmlns:a14="http://schemas.microsoft.com/office/drawing/2010/main" val="0"/>
                        </a:ext>
                      </a:extLst>
                    </a:blip>
                    <a:srcRect l="7608" t="19431" r="21562" b="1198"/>
                    <a:stretch/>
                  </pic:blipFill>
                  <pic:spPr bwMode="auto">
                    <a:xfrm rot="5400000">
                      <a:off x="0" y="0"/>
                      <a:ext cx="2037080" cy="1711960"/>
                    </a:xfrm>
                    <a:prstGeom prst="rect">
                      <a:avLst/>
                    </a:prstGeom>
                    <a:ln w="38100" cap="flat" cmpd="sng" algn="ctr">
                      <a:solidFill>
                        <a:srgbClr val="E7E6E6">
                          <a:lumMod val="50000"/>
                        </a:srgb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0" locked="0" layoutInCell="1" allowOverlap="1" wp14:anchorId="73D2B593" wp14:editId="758CB45F">
            <wp:simplePos x="0" y="0"/>
            <wp:positionH relativeFrom="margin">
              <wp:align>left</wp:align>
            </wp:positionH>
            <wp:positionV relativeFrom="paragraph">
              <wp:posOffset>1580515</wp:posOffset>
            </wp:positionV>
            <wp:extent cx="2047875" cy="1320800"/>
            <wp:effectExtent l="39688" t="36512" r="30162" b="30163"/>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vesting target.JPG"/>
                    <pic:cNvPicPr/>
                  </pic:nvPicPr>
                  <pic:blipFill rotWithShape="1">
                    <a:blip r:embed="rId8" cstate="print">
                      <a:extLst>
                        <a:ext uri="{28A0092B-C50C-407E-A947-70E740481C1C}">
                          <a14:useLocalDpi xmlns:a14="http://schemas.microsoft.com/office/drawing/2010/main" val="0"/>
                        </a:ext>
                      </a:extLst>
                    </a:blip>
                    <a:srcRect l="24547" t="34848" r="358" b="530"/>
                    <a:stretch/>
                  </pic:blipFill>
                  <pic:spPr bwMode="auto">
                    <a:xfrm rot="5400000">
                      <a:off x="0" y="0"/>
                      <a:ext cx="2047875" cy="1320800"/>
                    </a:xfrm>
                    <a:prstGeom prst="rect">
                      <a:avLst/>
                    </a:prstGeom>
                    <a:ln w="28575">
                      <a:solidFill>
                        <a:schemeClr val="bg2">
                          <a:lumMod val="5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0B84">
        <w:rPr>
          <w:sz w:val="20"/>
          <w:szCs w:val="20"/>
        </w:rPr>
        <w:t xml:space="preserve">A </w:t>
      </w:r>
      <w:r w:rsidR="00810B84">
        <w:rPr>
          <w:sz w:val="20"/>
          <w:szCs w:val="20"/>
          <w:vertAlign w:val="superscript"/>
        </w:rPr>
        <w:t>40</w:t>
      </w:r>
      <w:r w:rsidR="00810B84">
        <w:rPr>
          <w:sz w:val="20"/>
          <w:szCs w:val="20"/>
        </w:rPr>
        <w:t>Ca</w:t>
      </w:r>
      <w:r w:rsidR="00810B84">
        <w:rPr>
          <w:sz w:val="20"/>
          <w:szCs w:val="20"/>
          <w:vertAlign w:val="superscript"/>
        </w:rPr>
        <w:t>20+</w:t>
      </w:r>
      <w:r w:rsidR="00810B84">
        <w:rPr>
          <w:sz w:val="20"/>
          <w:szCs w:val="20"/>
        </w:rPr>
        <w:t xml:space="preserve"> beam was used for a preliminary experiment to test the current aqueous beam blocker system. This beam was used at two different intensities: 0.12 </w:t>
      </w:r>
      <w:proofErr w:type="spellStart"/>
      <w:r w:rsidR="00810B84">
        <w:rPr>
          <w:sz w:val="20"/>
          <w:szCs w:val="20"/>
        </w:rPr>
        <w:t>pnA</w:t>
      </w:r>
      <w:proofErr w:type="spellEnd"/>
      <w:r w:rsidR="00810B84">
        <w:rPr>
          <w:sz w:val="20"/>
          <w:szCs w:val="20"/>
        </w:rPr>
        <w:t xml:space="preserve"> for about 17 minutes and 0.45 </w:t>
      </w:r>
      <w:proofErr w:type="spellStart"/>
      <w:r w:rsidR="00810B84">
        <w:rPr>
          <w:sz w:val="20"/>
          <w:szCs w:val="20"/>
        </w:rPr>
        <w:t>pnA</w:t>
      </w:r>
      <w:proofErr w:type="spellEnd"/>
      <w:r w:rsidR="00810B84">
        <w:rPr>
          <w:sz w:val="20"/>
          <w:szCs w:val="20"/>
        </w:rPr>
        <w:t xml:space="preserve"> for approximately 3.5 hours. The initial lower intensity beam was used to monitor the system conditions for a short time before increasing the intensity to observe any degradation of the target window and produce radionuclides</w:t>
      </w:r>
      <w:r w:rsidR="003835CF">
        <w:rPr>
          <w:sz w:val="20"/>
          <w:szCs w:val="20"/>
        </w:rPr>
        <w:t xml:space="preserve"> at a higher rate</w:t>
      </w:r>
      <w:r w:rsidR="00810B84">
        <w:rPr>
          <w:sz w:val="20"/>
          <w:szCs w:val="20"/>
        </w:rPr>
        <w:t xml:space="preserve"> in the system. </w:t>
      </w:r>
      <w:r w:rsidR="00EA5F6A">
        <w:rPr>
          <w:sz w:val="20"/>
          <w:szCs w:val="20"/>
        </w:rPr>
        <w:t xml:space="preserve">The target window material was chosen to be the Ti6Al4V alloy due to its well-known resistance to corrosion. </w:t>
      </w:r>
      <w:r w:rsidR="00810B84">
        <w:rPr>
          <w:sz w:val="20"/>
          <w:szCs w:val="20"/>
        </w:rPr>
        <w:t xml:space="preserve">The aqueous beam blocker system </w:t>
      </w:r>
      <w:r w:rsidR="003835CF">
        <w:rPr>
          <w:sz w:val="20"/>
          <w:szCs w:val="20"/>
        </w:rPr>
        <w:t xml:space="preserve">includes a pump that </w:t>
      </w:r>
      <w:r w:rsidR="00506652">
        <w:rPr>
          <w:sz w:val="20"/>
          <w:szCs w:val="20"/>
        </w:rPr>
        <w:t xml:space="preserve">continuously </w:t>
      </w:r>
      <w:r w:rsidR="003835CF">
        <w:rPr>
          <w:sz w:val="20"/>
          <w:szCs w:val="20"/>
        </w:rPr>
        <w:t>circulates water from a reservoir through polypropylene tubes</w:t>
      </w:r>
      <w:r w:rsidR="00506652">
        <w:rPr>
          <w:sz w:val="20"/>
          <w:szCs w:val="20"/>
        </w:rPr>
        <w:t>,</w:t>
      </w:r>
      <w:r w:rsidR="003835CF">
        <w:rPr>
          <w:sz w:val="20"/>
          <w:szCs w:val="20"/>
        </w:rPr>
        <w:t xml:space="preserve"> which connect all components of the system. </w:t>
      </w:r>
      <w:r w:rsidR="00506652">
        <w:rPr>
          <w:sz w:val="20"/>
          <w:szCs w:val="20"/>
        </w:rPr>
        <w:t>Sensors, such as a conductivity probe, a pH probe, and a dissolved O</w:t>
      </w:r>
      <w:r w:rsidR="00506652">
        <w:rPr>
          <w:sz w:val="20"/>
          <w:szCs w:val="20"/>
          <w:vertAlign w:val="subscript"/>
        </w:rPr>
        <w:t>2</w:t>
      </w:r>
      <w:r w:rsidR="00506652">
        <w:rPr>
          <w:sz w:val="20"/>
          <w:szCs w:val="20"/>
        </w:rPr>
        <w:t xml:space="preserve"> sensor, can monitor the conditions of the water. Additionally, membrane contactors are used to allow for a separation of gas from the water </w:t>
      </w:r>
      <w:r w:rsidR="00D64176">
        <w:rPr>
          <w:sz w:val="20"/>
          <w:szCs w:val="20"/>
        </w:rPr>
        <w:t>and</w:t>
      </w:r>
      <w:r w:rsidR="00506652">
        <w:rPr>
          <w:sz w:val="20"/>
          <w:szCs w:val="20"/>
        </w:rPr>
        <w:t xml:space="preserve"> ion exchange resins </w:t>
      </w:r>
      <w:r w:rsidR="005F1DFC">
        <w:rPr>
          <w:sz w:val="20"/>
          <w:szCs w:val="20"/>
        </w:rPr>
        <w:t xml:space="preserve">(AG 50W-X8 and AG 1X8) </w:t>
      </w:r>
      <w:r w:rsidR="00D64176">
        <w:rPr>
          <w:sz w:val="20"/>
          <w:szCs w:val="20"/>
        </w:rPr>
        <w:t xml:space="preserve">are used </w:t>
      </w:r>
      <w:r w:rsidR="00506652">
        <w:rPr>
          <w:sz w:val="20"/>
          <w:szCs w:val="20"/>
        </w:rPr>
        <w:t xml:space="preserve">to extract ions produced in the water. </w:t>
      </w:r>
      <w:r>
        <w:rPr>
          <w:sz w:val="20"/>
          <w:szCs w:val="20"/>
        </w:rPr>
        <w:t>Pictures</w:t>
      </w:r>
      <w:r w:rsidR="00EF5C02">
        <w:rPr>
          <w:sz w:val="20"/>
          <w:szCs w:val="20"/>
        </w:rPr>
        <w:t xml:space="preserve"> and a schematic</w:t>
      </w:r>
      <w:r>
        <w:rPr>
          <w:sz w:val="20"/>
          <w:szCs w:val="20"/>
        </w:rPr>
        <w:t xml:space="preserve"> of the experimental set up</w:t>
      </w:r>
      <w:r w:rsidR="00A1793D">
        <w:rPr>
          <w:sz w:val="20"/>
          <w:szCs w:val="20"/>
        </w:rPr>
        <w:t xml:space="preserve"> </w:t>
      </w:r>
      <w:r>
        <w:rPr>
          <w:sz w:val="20"/>
          <w:szCs w:val="20"/>
        </w:rPr>
        <w:t>are shown in Figure 1</w:t>
      </w:r>
      <w:r w:rsidR="00EF5C02">
        <w:rPr>
          <w:sz w:val="20"/>
          <w:szCs w:val="20"/>
        </w:rPr>
        <w:t xml:space="preserve"> and 2, respectively</w:t>
      </w:r>
      <w:r>
        <w:rPr>
          <w:sz w:val="20"/>
          <w:szCs w:val="20"/>
        </w:rPr>
        <w:t>.</w:t>
      </w:r>
    </w:p>
    <w:p w:rsidR="003835CF" w:rsidRPr="00B95709" w:rsidRDefault="000136EB" w:rsidP="00652823">
      <w:pPr>
        <w:rPr>
          <w:sz w:val="20"/>
          <w:szCs w:val="20"/>
        </w:rPr>
      </w:pPr>
      <w:r w:rsidRPr="000136EB">
        <w:rPr>
          <w:noProof/>
          <w:sz w:val="20"/>
          <w:szCs w:val="20"/>
        </w:rPr>
        <mc:AlternateContent>
          <mc:Choice Requires="wps">
            <w:drawing>
              <wp:anchor distT="45720" distB="45720" distL="114300" distR="114300" simplePos="0" relativeHeight="251661312" behindDoc="0" locked="0" layoutInCell="1" allowOverlap="1" wp14:anchorId="44E68832" wp14:editId="5B03C8C5">
                <wp:simplePos x="0" y="0"/>
                <wp:positionH relativeFrom="column">
                  <wp:posOffset>-76200</wp:posOffset>
                </wp:positionH>
                <wp:positionV relativeFrom="paragraph">
                  <wp:posOffset>1213485</wp:posOffset>
                </wp:positionV>
                <wp:extent cx="3362325" cy="1404620"/>
                <wp:effectExtent l="0" t="0" r="952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rsidR="000136EB" w:rsidRPr="000136EB" w:rsidRDefault="000136EB" w:rsidP="000136EB">
                            <w:pPr>
                              <w:pStyle w:val="NoSpacing"/>
                              <w:jc w:val="both"/>
                              <w:rPr>
                                <w:sz w:val="20"/>
                                <w:szCs w:val="20"/>
                              </w:rPr>
                            </w:pPr>
                            <w:r w:rsidRPr="000136EB">
                              <w:rPr>
                                <w:sz w:val="20"/>
                                <w:szCs w:val="20"/>
                              </w:rPr>
                              <w:t xml:space="preserve">Figure 1. Aqueous </w:t>
                            </w:r>
                            <w:r w:rsidR="00B95709">
                              <w:rPr>
                                <w:sz w:val="20"/>
                                <w:szCs w:val="20"/>
                              </w:rPr>
                              <w:t>B</w:t>
                            </w:r>
                            <w:r w:rsidRPr="000136EB">
                              <w:rPr>
                                <w:sz w:val="20"/>
                                <w:szCs w:val="20"/>
                              </w:rPr>
                              <w:t xml:space="preserve">eam </w:t>
                            </w:r>
                            <w:r w:rsidR="00B95709">
                              <w:rPr>
                                <w:sz w:val="20"/>
                                <w:szCs w:val="20"/>
                              </w:rPr>
                              <w:t>B</w:t>
                            </w:r>
                            <w:r w:rsidRPr="000136EB">
                              <w:rPr>
                                <w:sz w:val="20"/>
                                <w:szCs w:val="20"/>
                              </w:rPr>
                              <w:t xml:space="preserve">locker </w:t>
                            </w:r>
                            <w:r w:rsidR="00B95709">
                              <w:rPr>
                                <w:sz w:val="20"/>
                                <w:szCs w:val="20"/>
                              </w:rPr>
                              <w:t>S</w:t>
                            </w:r>
                            <w:r w:rsidRPr="000136EB">
                              <w:rPr>
                                <w:sz w:val="20"/>
                                <w:szCs w:val="20"/>
                              </w:rPr>
                              <w:t xml:space="preserve">ystem: aqueous target at the end of the beam line (left) and the system of harvesting and monitoring components sitting behind the beam line.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68832" id="_x0000_t202" coordsize="21600,21600" o:spt="202" path="m,l,21600r21600,l21600,xe">
                <v:stroke joinstyle="miter"/>
                <v:path gradientshapeok="t" o:connecttype="rect"/>
              </v:shapetype>
              <v:shape id="Text Box 2" o:spid="_x0000_s1026" type="#_x0000_t202" style="position:absolute;margin-left:-6pt;margin-top:95.55pt;width:26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PDIgIAAB4EAAAOAAAAZHJzL2Uyb0RvYy54bWysU9tu2zAMfR+wfxD0vthxLm2NOEWXLsOA&#10;7gK0+wBZlmNhkqhJSuzs60vJaRp0b8P0IEgieXR4SK5uB63IQTgvwVR0OskpEYZDI82uoj+fth+u&#10;KfGBmYYpMKKiR+Hp7fr9u1VvS1FAB6oRjiCI8WVvK9qFYMss87wTmvkJWGHQ2ILTLODV7bLGsR7R&#10;tcqKPF9mPbjGOuDCe3y9H410nfDbVvDwvW29CERVFLmFtLu013HP1itW7hyzneQnGuwfWGgmDX56&#10;hrpngZG9k39BackdeGjDhIPOoG0lFykHzGaav8nmsWNWpFxQHG/PMvn/B8u/HX44IpuKFtMrSgzT&#10;WKQnMQTyEQZSRH1660t0e7ToGAZ8xjqnXL19AP7LEwObjpmduHMO+k6wBvlNY2R2ETri+AhS91+h&#10;wW/YPkACGlqno3goB0F0rNPxXJtIhePjbLYsZsWCEo626TyfL4tUvYyVL+HW+fBZgCbxUFGHxU/w&#10;7PDgQ6TDyheX+JsHJZutVCpd3K7eKEcODBtlm1bK4I2bMqSv6M0CicQoAzE+9ZCWARtZSV3R6zyu&#10;sbWiHJ9Mk1wCk2o8IxNlTvpESUZxwlAP6BhFq6E5olIOxobFAcNDB+4PJT02a0X97z1zghL1xaDa&#10;N9P5PHZ3uswXVygNcZeW+tLCDEeoigZKxuMmpIlIOtg7rMpWJr1emZy4YhMmGU8DE7v88p68Xsd6&#10;/QwAAP//AwBQSwMEFAAGAAgAAAAhACDvpo/gAAAACwEAAA8AAABkcnMvZG93bnJldi54bWxMj81O&#10;wzAQhO9IvIO1SNxax4HwE+JUFRUXDkgUJDi6sRNH2OvIdtPw9iwnOI5mNPNNs1m8Y7OJaQwoQawL&#10;YAa7oEccJLy/Pa3ugKWsUCsX0Ej4Ngk27flZo2odTvhq5n0eGJVgqpUEm/NUc546a7xK6zAZJK8P&#10;0atMMg5cR3Wicu94WRQ33KsRacGqyTxa033tj17Ch7ej3sWXz167effcb6tpiZOUlxfL9gFYNkv+&#10;C8MvPqFDS0yHcESdmJOwEiV9yWTcCwGMEpW4rYAdJFyL8gp42/D/H9ofAAAA//8DAFBLAQItABQA&#10;BgAIAAAAIQC2gziS/gAAAOEBAAATAAAAAAAAAAAAAAAAAAAAAABbQ29udGVudF9UeXBlc10ueG1s&#10;UEsBAi0AFAAGAAgAAAAhADj9If/WAAAAlAEAAAsAAAAAAAAAAAAAAAAALwEAAF9yZWxzLy5yZWxz&#10;UEsBAi0AFAAGAAgAAAAhAG/QU8MiAgAAHgQAAA4AAAAAAAAAAAAAAAAALgIAAGRycy9lMm9Eb2Mu&#10;eG1sUEsBAi0AFAAGAAgAAAAhACDvpo/gAAAACwEAAA8AAAAAAAAAAAAAAAAAfAQAAGRycy9kb3du&#10;cmV2LnhtbFBLBQYAAAAABAAEAPMAAACJBQAAAAA=&#10;" stroked="f">
                <v:textbox style="mso-fit-shape-to-text:t">
                  <w:txbxContent>
                    <w:p w:rsidR="000136EB" w:rsidRPr="000136EB" w:rsidRDefault="000136EB" w:rsidP="000136EB">
                      <w:pPr>
                        <w:pStyle w:val="NoSpacing"/>
                        <w:jc w:val="both"/>
                        <w:rPr>
                          <w:sz w:val="20"/>
                          <w:szCs w:val="20"/>
                        </w:rPr>
                      </w:pPr>
                      <w:r w:rsidRPr="000136EB">
                        <w:rPr>
                          <w:sz w:val="20"/>
                          <w:szCs w:val="20"/>
                        </w:rPr>
                        <w:t xml:space="preserve">Figure 1. Aqueous </w:t>
                      </w:r>
                      <w:r w:rsidR="00B95709">
                        <w:rPr>
                          <w:sz w:val="20"/>
                          <w:szCs w:val="20"/>
                        </w:rPr>
                        <w:t>B</w:t>
                      </w:r>
                      <w:r w:rsidRPr="000136EB">
                        <w:rPr>
                          <w:sz w:val="20"/>
                          <w:szCs w:val="20"/>
                        </w:rPr>
                        <w:t xml:space="preserve">eam </w:t>
                      </w:r>
                      <w:r w:rsidR="00B95709">
                        <w:rPr>
                          <w:sz w:val="20"/>
                          <w:szCs w:val="20"/>
                        </w:rPr>
                        <w:t>B</w:t>
                      </w:r>
                      <w:r w:rsidRPr="000136EB">
                        <w:rPr>
                          <w:sz w:val="20"/>
                          <w:szCs w:val="20"/>
                        </w:rPr>
                        <w:t xml:space="preserve">locker </w:t>
                      </w:r>
                      <w:r w:rsidR="00B95709">
                        <w:rPr>
                          <w:sz w:val="20"/>
                          <w:szCs w:val="20"/>
                        </w:rPr>
                        <w:t>S</w:t>
                      </w:r>
                      <w:r w:rsidRPr="000136EB">
                        <w:rPr>
                          <w:sz w:val="20"/>
                          <w:szCs w:val="20"/>
                        </w:rPr>
                        <w:t xml:space="preserve">ystem: aqueous target at the end of the beam line (left) and the system of harvesting and monitoring components sitting behind the beam line. </w:t>
                      </w:r>
                    </w:p>
                  </w:txbxContent>
                </v:textbox>
                <w10:wrap type="square"/>
              </v:shape>
            </w:pict>
          </mc:Fallback>
        </mc:AlternateContent>
      </w:r>
      <w:r w:rsidR="000E4BCD">
        <w:rPr>
          <w:sz w:val="20"/>
          <w:szCs w:val="20"/>
        </w:rPr>
        <w:t xml:space="preserve">For this experiment approximately 6 L of ultra-pure water was used. The water was also run through both a cation and anion exchange resin </w:t>
      </w:r>
      <w:r w:rsidR="00D64176">
        <w:rPr>
          <w:sz w:val="20"/>
          <w:szCs w:val="20"/>
        </w:rPr>
        <w:t xml:space="preserve">prior to irradiation </w:t>
      </w:r>
      <w:r w:rsidR="000E4BCD">
        <w:rPr>
          <w:sz w:val="20"/>
          <w:szCs w:val="20"/>
        </w:rPr>
        <w:t xml:space="preserve">to reduce the conductivity </w:t>
      </w:r>
      <w:r w:rsidR="005F1DFC">
        <w:rPr>
          <w:sz w:val="20"/>
          <w:szCs w:val="20"/>
        </w:rPr>
        <w:t xml:space="preserve">of the water to about 250 </w:t>
      </w:r>
      <w:proofErr w:type="spellStart"/>
      <w:r w:rsidR="005F1DFC">
        <w:rPr>
          <w:sz w:val="20"/>
          <w:szCs w:val="20"/>
        </w:rPr>
        <w:t>nS</w:t>
      </w:r>
      <w:proofErr w:type="spellEnd"/>
      <w:r w:rsidR="005F1DFC">
        <w:rPr>
          <w:sz w:val="20"/>
          <w:szCs w:val="20"/>
        </w:rPr>
        <w:t xml:space="preserve">/cm. The irradiation was performed for about 4 hours and the resulting conductivity was allowed to build up in </w:t>
      </w:r>
      <w:r w:rsidR="005F1DFC">
        <w:rPr>
          <w:sz w:val="20"/>
          <w:szCs w:val="20"/>
        </w:rPr>
        <w:lastRenderedPageBreak/>
        <w:t xml:space="preserve">the system </w:t>
      </w:r>
      <w:r w:rsidR="00D64176">
        <w:rPr>
          <w:sz w:val="20"/>
          <w:szCs w:val="20"/>
        </w:rPr>
        <w:t>to</w:t>
      </w:r>
      <w:r w:rsidR="005F1DFC">
        <w:rPr>
          <w:sz w:val="20"/>
          <w:szCs w:val="20"/>
        </w:rPr>
        <w:t xml:space="preserve"> be monitored by the conductivity </w:t>
      </w:r>
      <w:r w:rsidR="00352621">
        <w:rPr>
          <w:b/>
          <w:noProof/>
          <w:sz w:val="20"/>
          <w:szCs w:val="20"/>
        </w:rPr>
        <w:drawing>
          <wp:anchor distT="0" distB="0" distL="114300" distR="114300" simplePos="0" relativeHeight="251662336" behindDoc="0" locked="0" layoutInCell="1" allowOverlap="1" wp14:anchorId="341C201D" wp14:editId="3608B6E0">
            <wp:simplePos x="0" y="0"/>
            <wp:positionH relativeFrom="margin">
              <wp:align>right</wp:align>
            </wp:positionH>
            <wp:positionV relativeFrom="paragraph">
              <wp:posOffset>0</wp:posOffset>
            </wp:positionV>
            <wp:extent cx="3112135" cy="26765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vesting syste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135" cy="2676525"/>
                    </a:xfrm>
                    <a:prstGeom prst="rect">
                      <a:avLst/>
                    </a:prstGeom>
                  </pic:spPr>
                </pic:pic>
              </a:graphicData>
            </a:graphic>
            <wp14:sizeRelH relativeFrom="page">
              <wp14:pctWidth>0</wp14:pctWidth>
            </wp14:sizeRelH>
            <wp14:sizeRelV relativeFrom="page">
              <wp14:pctHeight>0</wp14:pctHeight>
            </wp14:sizeRelV>
          </wp:anchor>
        </w:drawing>
      </w:r>
      <w:r w:rsidR="005F1DFC">
        <w:rPr>
          <w:sz w:val="20"/>
          <w:szCs w:val="20"/>
        </w:rPr>
        <w:t xml:space="preserve">probe. Following the irradiation, the water was pumped through ion exchange resins until the conductivity had reached a minimum of about 100 </w:t>
      </w:r>
      <w:proofErr w:type="spellStart"/>
      <w:r w:rsidR="005F1DFC">
        <w:rPr>
          <w:sz w:val="20"/>
          <w:szCs w:val="20"/>
        </w:rPr>
        <w:t>nS</w:t>
      </w:r>
      <w:proofErr w:type="spellEnd"/>
      <w:r w:rsidR="005F1DFC">
        <w:rPr>
          <w:sz w:val="20"/>
          <w:szCs w:val="20"/>
        </w:rPr>
        <w:t xml:space="preserve">/cm. </w:t>
      </w:r>
      <w:r>
        <w:rPr>
          <w:sz w:val="20"/>
          <w:szCs w:val="20"/>
        </w:rPr>
        <w:t xml:space="preserve">Components of the system including the ion exchange resins were analyzed using gamma spectroscopy to identify and quantify the radionuclides produced by irradiating the aqueous target. </w:t>
      </w:r>
    </w:p>
    <w:p w:rsidR="00A022C2" w:rsidRDefault="00A022C2" w:rsidP="00652823">
      <w:pPr>
        <w:rPr>
          <w:sz w:val="20"/>
          <w:szCs w:val="20"/>
        </w:rPr>
      </w:pPr>
      <w:r>
        <w:rPr>
          <w:b/>
          <w:sz w:val="20"/>
          <w:szCs w:val="20"/>
        </w:rPr>
        <w:t>Results and Conclusion</w:t>
      </w:r>
    </w:p>
    <w:p w:rsidR="00327BA4" w:rsidRDefault="00A1793D" w:rsidP="00652823">
      <w:pPr>
        <w:rPr>
          <w:sz w:val="20"/>
          <w:szCs w:val="20"/>
        </w:rPr>
      </w:pPr>
      <w:r w:rsidRPr="00A1793D">
        <w:rPr>
          <w:noProof/>
          <w:sz w:val="20"/>
          <w:szCs w:val="20"/>
        </w:rPr>
        <mc:AlternateContent>
          <mc:Choice Requires="wps">
            <w:drawing>
              <wp:anchor distT="45720" distB="45720" distL="114300" distR="114300" simplePos="0" relativeHeight="251664384" behindDoc="0" locked="0" layoutInCell="1" allowOverlap="1" wp14:anchorId="3453CEB1" wp14:editId="0E2D2A88">
                <wp:simplePos x="0" y="0"/>
                <wp:positionH relativeFrom="margin">
                  <wp:align>right</wp:align>
                </wp:positionH>
                <wp:positionV relativeFrom="paragraph">
                  <wp:posOffset>1015365</wp:posOffset>
                </wp:positionV>
                <wp:extent cx="3207385" cy="1404620"/>
                <wp:effectExtent l="0" t="0" r="0"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404620"/>
                        </a:xfrm>
                        <a:prstGeom prst="rect">
                          <a:avLst/>
                        </a:prstGeom>
                        <a:solidFill>
                          <a:srgbClr val="FFFFFF"/>
                        </a:solidFill>
                        <a:ln w="9525">
                          <a:noFill/>
                          <a:miter lim="800000"/>
                          <a:headEnd/>
                          <a:tailEnd/>
                        </a:ln>
                      </wps:spPr>
                      <wps:txbx>
                        <w:txbxContent>
                          <w:p w:rsidR="00A1793D" w:rsidRPr="00B95709" w:rsidRDefault="00A1793D" w:rsidP="00B95709">
                            <w:pPr>
                              <w:pStyle w:val="NoSpacing"/>
                              <w:jc w:val="both"/>
                              <w:rPr>
                                <w:sz w:val="20"/>
                                <w:szCs w:val="20"/>
                              </w:rPr>
                            </w:pPr>
                            <w:r w:rsidRPr="00B95709">
                              <w:rPr>
                                <w:sz w:val="20"/>
                                <w:szCs w:val="20"/>
                              </w:rPr>
                              <w:t xml:space="preserve">Figure 2. </w:t>
                            </w:r>
                            <w:r w:rsidR="00B95709" w:rsidRPr="00B95709">
                              <w:rPr>
                                <w:sz w:val="20"/>
                                <w:szCs w:val="20"/>
                              </w:rPr>
                              <w:t xml:space="preserve">Schematic of the Current Aqueous Harvesting System. The system is composed of mechanical components (purple), sensors and probes (orange), and separation tools (yellow). The flow of water through the system is shown by the arrows.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3CEB1" id="_x0000_s1027" type="#_x0000_t202" style="position:absolute;margin-left:201.35pt;margin-top:79.95pt;width:252.5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6IWIgIAACM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JSWGaWzR&#10;oxgD+QgjKaI6g/UVJj1YTAsjHmOXU6Xe3gP/5YmBTc/MTtw6B0MvWIvs5vFmdnZ1wvERpBm+QovP&#10;sH2ABDR2TkfpUAyC6Nilp1NnIhWOhxdFfnWxXFDCMTYv8/KySL3LWPVy3TofPgvQJC5q6rD1CZ4d&#10;7n2IdFj1khJf86Bku5VKpY3bNRvlyIGhTbZppArepClDhppeL4pFQjYQ7ycHaRnQxkrqmi7zOCZj&#10;RTk+mTalBCbVtEYmyhz1iZJM4oSxGVMjknhRuwbaJxTMweRa/GW46MH9oWRAx9bU/94zJyhRXwyK&#10;fj0vy2jxtCkXV6gQceeR5jzCDEeomgZKpuUmpG+R5LC32JytTLK9MjlSRicmNY+/Jlr9fJ+yXv/2&#10;+hkAAP//AwBQSwMEFAAGAAgAAAAhAFDyF8jdAAAACAEAAA8AAABkcnMvZG93bnJldi54bWxMj81O&#10;wzAQhO9IvIO1SNyoE1BQG+JUFRUXDkgUJDi68eZH2GvLdtPw9iwnOM7OauabZrs4K2aMafKkoFwV&#10;IJA6byYaFLy/Pd2sQaSsyWjrCRV8Y4Jte3nR6Nr4M73ifMiD4BBKtVYw5hxqKVM3otNp5QMSe72P&#10;TmeWcZAm6jOHOytvi+JeOj0RN4w64OOI3dfh5BR8uHEy+/jy2Rs775/7XRWWGJS6vlp2DyAyLvnv&#10;GX7xGR1aZjr6E5kkrAIekvlabTYg2K6KqgRxVHC3LkuQbSP/D2h/AAAA//8DAFBLAQItABQABgAI&#10;AAAAIQC2gziS/gAAAOEBAAATAAAAAAAAAAAAAAAAAAAAAABbQ29udGVudF9UeXBlc10ueG1sUEsB&#10;Ai0AFAAGAAgAAAAhADj9If/WAAAAlAEAAAsAAAAAAAAAAAAAAAAALwEAAF9yZWxzLy5yZWxzUEsB&#10;Ai0AFAAGAAgAAAAhAN0rohYiAgAAIwQAAA4AAAAAAAAAAAAAAAAALgIAAGRycy9lMm9Eb2MueG1s&#10;UEsBAi0AFAAGAAgAAAAhAFDyF8jdAAAACAEAAA8AAAAAAAAAAAAAAAAAfAQAAGRycy9kb3ducmV2&#10;LnhtbFBLBQYAAAAABAAEAPMAAACGBQAAAAA=&#10;" stroked="f">
                <v:textbox style="mso-fit-shape-to-text:t">
                  <w:txbxContent>
                    <w:p w:rsidR="00A1793D" w:rsidRPr="00B95709" w:rsidRDefault="00A1793D" w:rsidP="00B95709">
                      <w:pPr>
                        <w:pStyle w:val="NoSpacing"/>
                        <w:jc w:val="both"/>
                        <w:rPr>
                          <w:sz w:val="20"/>
                          <w:szCs w:val="20"/>
                        </w:rPr>
                      </w:pPr>
                      <w:r w:rsidRPr="00B95709">
                        <w:rPr>
                          <w:sz w:val="20"/>
                          <w:szCs w:val="20"/>
                        </w:rPr>
                        <w:t xml:space="preserve">Figure 2. </w:t>
                      </w:r>
                      <w:r w:rsidR="00B95709" w:rsidRPr="00B95709">
                        <w:rPr>
                          <w:sz w:val="20"/>
                          <w:szCs w:val="20"/>
                        </w:rPr>
                        <w:t xml:space="preserve">Schematic of the Current Aqueous Harvesting System. The system is composed of mechanical components (purple), sensors and probes (orange), and separation tools (yellow). The flow of water through the system is shown by the arrows. </w:t>
                      </w:r>
                    </w:p>
                  </w:txbxContent>
                </v:textbox>
                <w10:wrap type="square" anchorx="margin"/>
              </v:shape>
            </w:pict>
          </mc:Fallback>
        </mc:AlternateContent>
      </w:r>
      <w:r w:rsidR="00F310C6">
        <w:rPr>
          <w:sz w:val="20"/>
          <w:szCs w:val="20"/>
        </w:rPr>
        <w:t xml:space="preserve">Throughout the irradiation, the conductivity in the system increased in a very linear manner from a baseline of about 800 </w:t>
      </w:r>
      <w:proofErr w:type="spellStart"/>
      <w:r w:rsidR="00F310C6">
        <w:rPr>
          <w:sz w:val="20"/>
          <w:szCs w:val="20"/>
        </w:rPr>
        <w:t>nS</w:t>
      </w:r>
      <w:proofErr w:type="spellEnd"/>
      <w:r w:rsidR="00F310C6">
        <w:rPr>
          <w:sz w:val="20"/>
          <w:szCs w:val="20"/>
        </w:rPr>
        <w:t>/cm</w:t>
      </w:r>
      <w:r w:rsidR="00F310C6">
        <w:rPr>
          <w:sz w:val="20"/>
          <w:szCs w:val="20"/>
        </w:rPr>
        <w:t xml:space="preserve"> to a final value of 1.8 </w:t>
      </w:r>
      <w:proofErr w:type="spellStart"/>
      <w:r w:rsidR="00F310C6">
        <w:rPr>
          <w:rFonts w:cstheme="minorHAnsi"/>
          <w:sz w:val="20"/>
          <w:szCs w:val="20"/>
        </w:rPr>
        <w:t>μ</w:t>
      </w:r>
      <w:r w:rsidR="00F310C6">
        <w:rPr>
          <w:sz w:val="20"/>
          <w:szCs w:val="20"/>
        </w:rPr>
        <w:t>S</w:t>
      </w:r>
      <w:proofErr w:type="spellEnd"/>
      <w:r w:rsidR="00F310C6">
        <w:rPr>
          <w:sz w:val="20"/>
          <w:szCs w:val="20"/>
        </w:rPr>
        <w:t>/cm</w:t>
      </w:r>
      <w:r w:rsidR="00F310C6">
        <w:rPr>
          <w:sz w:val="20"/>
          <w:szCs w:val="20"/>
        </w:rPr>
        <w:t xml:space="preserve">. This level of conductivity persisted even after the irradiation. The dissolved ions were collected on ion exchange resins after irradiation. </w:t>
      </w:r>
      <w:r w:rsidR="00A96FE1">
        <w:rPr>
          <w:sz w:val="20"/>
          <w:szCs w:val="20"/>
        </w:rPr>
        <w:t xml:space="preserve">The only activity detected in the reservoir water after collecting the ions was </w:t>
      </w:r>
      <w:r w:rsidR="00F310C6">
        <w:rPr>
          <w:sz w:val="20"/>
          <w:szCs w:val="20"/>
        </w:rPr>
        <w:t xml:space="preserve">a small fraction of the </w:t>
      </w:r>
      <w:r w:rsidR="00F310C6">
        <w:rPr>
          <w:sz w:val="20"/>
          <w:szCs w:val="20"/>
          <w:vertAlign w:val="superscript"/>
        </w:rPr>
        <w:t>18</w:t>
      </w:r>
      <w:r w:rsidR="00F310C6">
        <w:rPr>
          <w:sz w:val="20"/>
          <w:szCs w:val="20"/>
        </w:rPr>
        <w:t>F activity</w:t>
      </w:r>
      <w:r w:rsidR="00343632">
        <w:rPr>
          <w:sz w:val="20"/>
          <w:szCs w:val="20"/>
        </w:rPr>
        <w:t xml:space="preserve">, showing that the ion exchange resins provide a sufficient separation technique for harvesting </w:t>
      </w:r>
      <w:r w:rsidR="00A96FE1">
        <w:rPr>
          <w:sz w:val="20"/>
          <w:szCs w:val="20"/>
        </w:rPr>
        <w:t>ions</w:t>
      </w:r>
      <w:r w:rsidR="00343632">
        <w:rPr>
          <w:sz w:val="20"/>
          <w:szCs w:val="20"/>
        </w:rPr>
        <w:t xml:space="preserve"> from an aqueous system.</w:t>
      </w:r>
      <w:r w:rsidR="00F310C6">
        <w:rPr>
          <w:sz w:val="20"/>
          <w:szCs w:val="20"/>
        </w:rPr>
        <w:t xml:space="preserve">  </w:t>
      </w:r>
      <w:r w:rsidR="007B3642">
        <w:rPr>
          <w:sz w:val="20"/>
          <w:szCs w:val="20"/>
        </w:rPr>
        <w:t xml:space="preserve">The contents of the columns were eluted and will be analyzed with Inductively Coupled Plasma-Optical Emission Spectroscopy to determine the identity and amount of the dissolved ions in the system. </w:t>
      </w:r>
    </w:p>
    <w:p w:rsidR="00F310C6" w:rsidRPr="00CE3800" w:rsidRDefault="00F310C6" w:rsidP="00652823">
      <w:pPr>
        <w:rPr>
          <w:sz w:val="20"/>
          <w:szCs w:val="20"/>
        </w:rPr>
      </w:pPr>
      <w:r>
        <w:rPr>
          <w:sz w:val="20"/>
          <w:szCs w:val="20"/>
        </w:rPr>
        <w:t xml:space="preserve">The radionuclides collected on the resins were identified and quantified by their characteristic gamma emissions. These production activities were compared to predicted levels using LISE++ to </w:t>
      </w:r>
      <w:r w:rsidR="00A96FE1">
        <w:rPr>
          <w:sz w:val="20"/>
          <w:szCs w:val="20"/>
        </w:rPr>
        <w:t>estimate fragmentation reaction rates</w:t>
      </w:r>
      <w:r>
        <w:rPr>
          <w:sz w:val="20"/>
          <w:szCs w:val="20"/>
        </w:rPr>
        <w:t xml:space="preserve"> and both </w:t>
      </w:r>
      <w:proofErr w:type="spellStart"/>
      <w:r>
        <w:rPr>
          <w:sz w:val="20"/>
          <w:szCs w:val="20"/>
        </w:rPr>
        <w:t>Lisfus</w:t>
      </w:r>
      <w:proofErr w:type="spellEnd"/>
      <w:r>
        <w:rPr>
          <w:sz w:val="20"/>
          <w:szCs w:val="20"/>
        </w:rPr>
        <w:t xml:space="preserve"> and PACE4 to </w:t>
      </w:r>
      <w:r w:rsidR="00A96FE1">
        <w:rPr>
          <w:sz w:val="20"/>
          <w:szCs w:val="20"/>
        </w:rPr>
        <w:t>estimate fusion-evaporation reaction cross sections</w:t>
      </w:r>
      <w:r>
        <w:rPr>
          <w:sz w:val="20"/>
          <w:szCs w:val="20"/>
        </w:rPr>
        <w:t xml:space="preserve"> in the aqueous target</w:t>
      </w:r>
      <w:r w:rsidR="00343632">
        <w:rPr>
          <w:sz w:val="20"/>
          <w:szCs w:val="20"/>
        </w:rPr>
        <w:t xml:space="preserve"> </w:t>
      </w:r>
      <w:r w:rsidR="00440F9D" w:rsidRPr="00440F9D">
        <w:rPr>
          <w:sz w:val="20"/>
          <w:szCs w:val="20"/>
          <w:vertAlign w:val="superscript"/>
        </w:rPr>
        <w:t>10-12</w:t>
      </w:r>
      <w:r>
        <w:rPr>
          <w:sz w:val="20"/>
          <w:szCs w:val="20"/>
        </w:rPr>
        <w:t xml:space="preserve">. </w:t>
      </w:r>
      <w:r w:rsidR="00343632">
        <w:rPr>
          <w:sz w:val="20"/>
          <w:szCs w:val="20"/>
        </w:rPr>
        <w:t xml:space="preserve">Both the total activity detected in the system as well as the </w:t>
      </w:r>
      <w:r w:rsidR="00A71765">
        <w:rPr>
          <w:sz w:val="20"/>
          <w:szCs w:val="20"/>
        </w:rPr>
        <w:t>estimated productions</w:t>
      </w:r>
      <w:r w:rsidR="00EF5C02">
        <w:rPr>
          <w:sz w:val="20"/>
          <w:szCs w:val="20"/>
        </w:rPr>
        <w:t xml:space="preserve"> for fragmentation and fusion-evaporation products</w:t>
      </w:r>
      <w:r w:rsidR="00A71765">
        <w:rPr>
          <w:sz w:val="20"/>
          <w:szCs w:val="20"/>
        </w:rPr>
        <w:t xml:space="preserve"> are shown in Table 1</w:t>
      </w:r>
      <w:r w:rsidR="00EF5C02">
        <w:rPr>
          <w:sz w:val="20"/>
          <w:szCs w:val="20"/>
        </w:rPr>
        <w:t xml:space="preserve"> and 2, respectively</w:t>
      </w:r>
      <w:r w:rsidR="00A71765">
        <w:rPr>
          <w:sz w:val="20"/>
          <w:szCs w:val="20"/>
        </w:rPr>
        <w:t xml:space="preserve">. </w:t>
      </w:r>
      <w:r w:rsidR="00CE3800">
        <w:rPr>
          <w:sz w:val="20"/>
          <w:szCs w:val="20"/>
        </w:rPr>
        <w:t xml:space="preserve">The measured and estimated activities are reasonably close for most of the nuclides detected with a few notable exceptions: </w:t>
      </w:r>
      <w:r w:rsidR="00CE3800">
        <w:rPr>
          <w:sz w:val="20"/>
          <w:szCs w:val="20"/>
          <w:vertAlign w:val="superscript"/>
        </w:rPr>
        <w:t>7</w:t>
      </w:r>
      <w:r w:rsidR="00CE3800">
        <w:rPr>
          <w:sz w:val="20"/>
          <w:szCs w:val="20"/>
        </w:rPr>
        <w:t xml:space="preserve">Be, </w:t>
      </w:r>
      <w:r w:rsidR="00CE3800">
        <w:rPr>
          <w:sz w:val="20"/>
          <w:szCs w:val="20"/>
          <w:vertAlign w:val="superscript"/>
        </w:rPr>
        <w:t>28</w:t>
      </w:r>
      <w:r w:rsidR="00CE3800">
        <w:rPr>
          <w:sz w:val="20"/>
          <w:szCs w:val="20"/>
        </w:rPr>
        <w:t xml:space="preserve">Mg, and </w:t>
      </w:r>
      <w:r w:rsidR="00CE3800">
        <w:rPr>
          <w:sz w:val="20"/>
          <w:szCs w:val="20"/>
          <w:vertAlign w:val="superscript"/>
        </w:rPr>
        <w:t>52</w:t>
      </w:r>
      <w:r w:rsidR="00CE3800">
        <w:rPr>
          <w:sz w:val="20"/>
          <w:szCs w:val="20"/>
        </w:rPr>
        <w:t>Mn.</w:t>
      </w:r>
    </w:p>
    <w:tbl>
      <w:tblPr>
        <w:tblpPr w:leftFromText="180" w:rightFromText="180" w:vertAnchor="text" w:horzAnchor="margin" w:tblpY="916"/>
        <w:tblW w:w="0" w:type="auto"/>
        <w:tblBorders>
          <w:top w:val="single" w:sz="18" w:space="0" w:color="auto"/>
          <w:bottom w:val="single" w:sz="18" w:space="0" w:color="auto"/>
        </w:tblBorders>
        <w:shd w:val="clear" w:color="auto" w:fill="FFFFFF"/>
        <w:tblLook w:val="04A0" w:firstRow="1" w:lastRow="0" w:firstColumn="1" w:lastColumn="0" w:noHBand="0" w:noVBand="1"/>
      </w:tblPr>
      <w:tblGrid>
        <w:gridCol w:w="770"/>
        <w:gridCol w:w="1372"/>
        <w:gridCol w:w="1530"/>
      </w:tblGrid>
      <w:tr w:rsidR="002918D0" w:rsidRPr="00F51F6F" w:rsidTr="002918D0">
        <w:tc>
          <w:tcPr>
            <w:tcW w:w="0" w:type="auto"/>
            <w:tcBorders>
              <w:bottom w:val="single" w:sz="4" w:space="0" w:color="auto"/>
            </w:tcBorders>
            <w:shd w:val="clear" w:color="auto" w:fill="FFFFFF"/>
          </w:tcPr>
          <w:p w:rsidR="002918D0" w:rsidRPr="00575FB1" w:rsidRDefault="002918D0" w:rsidP="002918D0">
            <w:pPr>
              <w:jc w:val="both"/>
              <w:rPr>
                <w:rFonts w:ascii="Calibri" w:hAnsi="Calibri"/>
                <w:bCs/>
                <w:sz w:val="18"/>
                <w:szCs w:val="18"/>
              </w:rPr>
            </w:pPr>
            <w:r>
              <w:rPr>
                <w:rFonts w:ascii="Calibri" w:hAnsi="Calibri"/>
                <w:bCs/>
                <w:sz w:val="18"/>
                <w:szCs w:val="18"/>
              </w:rPr>
              <w:t>Nuclide</w:t>
            </w:r>
          </w:p>
        </w:tc>
        <w:tc>
          <w:tcPr>
            <w:tcW w:w="1372" w:type="dxa"/>
            <w:tcBorders>
              <w:bottom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 xml:space="preserve">Total Measured Production, </w:t>
            </w:r>
            <w:proofErr w:type="spellStart"/>
            <w:r>
              <w:rPr>
                <w:rFonts w:cstheme="minorHAnsi"/>
                <w:sz w:val="20"/>
                <w:szCs w:val="20"/>
              </w:rPr>
              <w:t>μ</w:t>
            </w:r>
            <w:r>
              <w:rPr>
                <w:sz w:val="20"/>
                <w:szCs w:val="20"/>
              </w:rPr>
              <w:t>Ci</w:t>
            </w:r>
            <w:proofErr w:type="spellEnd"/>
            <w:r>
              <w:rPr>
                <w:rFonts w:ascii="Calibri" w:hAnsi="Calibri"/>
                <w:sz w:val="18"/>
                <w:szCs w:val="18"/>
              </w:rPr>
              <w:t xml:space="preserve"> </w:t>
            </w:r>
          </w:p>
        </w:tc>
        <w:tc>
          <w:tcPr>
            <w:tcW w:w="1530" w:type="dxa"/>
            <w:tcBorders>
              <w:bottom w:val="single" w:sz="4" w:space="0" w:color="auto"/>
            </w:tcBorders>
            <w:shd w:val="clear" w:color="auto" w:fill="FFFFFF"/>
          </w:tcPr>
          <w:p w:rsidR="002918D0" w:rsidRPr="00F523E6" w:rsidRDefault="002918D0" w:rsidP="002918D0">
            <w:pPr>
              <w:jc w:val="both"/>
              <w:rPr>
                <w:rFonts w:ascii="Calibri" w:hAnsi="Calibri"/>
                <w:sz w:val="18"/>
                <w:szCs w:val="18"/>
              </w:rPr>
            </w:pPr>
            <w:r>
              <w:rPr>
                <w:rFonts w:ascii="Calibri" w:hAnsi="Calibri"/>
                <w:sz w:val="18"/>
                <w:szCs w:val="18"/>
              </w:rPr>
              <w:t xml:space="preserve">LISE++ Estimated Production, </w:t>
            </w:r>
            <w:proofErr w:type="spellStart"/>
            <w:r>
              <w:rPr>
                <w:rFonts w:cstheme="minorHAnsi"/>
                <w:sz w:val="20"/>
                <w:szCs w:val="20"/>
              </w:rPr>
              <w:t>μ</w:t>
            </w:r>
            <w:r>
              <w:rPr>
                <w:sz w:val="20"/>
                <w:szCs w:val="20"/>
              </w:rPr>
              <w:t>Ci</w:t>
            </w:r>
            <w:proofErr w:type="spellEnd"/>
          </w:p>
        </w:tc>
      </w:tr>
      <w:tr w:rsidR="002918D0" w:rsidRPr="00F51F6F" w:rsidTr="002918D0">
        <w:tc>
          <w:tcPr>
            <w:tcW w:w="0" w:type="auto"/>
            <w:tcBorders>
              <w:top w:val="single" w:sz="4" w:space="0" w:color="auto"/>
            </w:tcBorders>
            <w:shd w:val="clear" w:color="auto" w:fill="FFFFFF"/>
          </w:tcPr>
          <w:p w:rsidR="002918D0" w:rsidRPr="00EA7AD2" w:rsidRDefault="002918D0" w:rsidP="002918D0">
            <w:pPr>
              <w:jc w:val="both"/>
              <w:rPr>
                <w:rFonts w:ascii="Calibri" w:hAnsi="Calibri"/>
                <w:bCs/>
                <w:sz w:val="18"/>
                <w:szCs w:val="18"/>
              </w:rPr>
            </w:pPr>
            <w:r>
              <w:rPr>
                <w:rFonts w:ascii="Calibri" w:hAnsi="Calibri"/>
                <w:bCs/>
                <w:sz w:val="18"/>
                <w:szCs w:val="18"/>
                <w:vertAlign w:val="superscript"/>
              </w:rPr>
              <w:t>7</w:t>
            </w:r>
            <w:r>
              <w:rPr>
                <w:rFonts w:ascii="Calibri" w:hAnsi="Calibri"/>
                <w:bCs/>
                <w:sz w:val="18"/>
                <w:szCs w:val="18"/>
              </w:rPr>
              <w:t>Be</w:t>
            </w:r>
          </w:p>
        </w:tc>
        <w:tc>
          <w:tcPr>
            <w:tcW w:w="1372" w:type="dxa"/>
            <w:tcBorders>
              <w:top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0.47(8)</w:t>
            </w:r>
          </w:p>
        </w:tc>
        <w:tc>
          <w:tcPr>
            <w:tcW w:w="1530" w:type="dxa"/>
            <w:tcBorders>
              <w:top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0.041</w:t>
            </w:r>
          </w:p>
        </w:tc>
      </w:tr>
      <w:tr w:rsidR="002918D0" w:rsidRPr="00F51F6F" w:rsidTr="002918D0">
        <w:tc>
          <w:tcPr>
            <w:tcW w:w="0" w:type="auto"/>
            <w:shd w:val="clear" w:color="auto" w:fill="FFFFFF"/>
          </w:tcPr>
          <w:p w:rsidR="002918D0" w:rsidRPr="00EA7AD2" w:rsidRDefault="002918D0" w:rsidP="002918D0">
            <w:pPr>
              <w:jc w:val="both"/>
              <w:rPr>
                <w:rFonts w:ascii="Calibri" w:hAnsi="Calibri"/>
                <w:bCs/>
                <w:sz w:val="18"/>
                <w:szCs w:val="18"/>
              </w:rPr>
            </w:pPr>
            <w:r>
              <w:rPr>
                <w:rFonts w:ascii="Calibri" w:hAnsi="Calibri"/>
                <w:bCs/>
                <w:sz w:val="18"/>
                <w:szCs w:val="18"/>
                <w:vertAlign w:val="superscript"/>
              </w:rPr>
              <w:t>18</w:t>
            </w:r>
            <w:r>
              <w:rPr>
                <w:rFonts w:ascii="Calibri" w:hAnsi="Calibri"/>
                <w:bCs/>
                <w:sz w:val="18"/>
                <w:szCs w:val="18"/>
              </w:rPr>
              <w:t>F</w:t>
            </w:r>
          </w:p>
        </w:tc>
        <w:tc>
          <w:tcPr>
            <w:tcW w:w="1372" w:type="dxa"/>
            <w:tcBorders>
              <w:bottom w:val="nil"/>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84.4(3)</w:t>
            </w:r>
          </w:p>
        </w:tc>
        <w:tc>
          <w:tcPr>
            <w:tcW w:w="1530"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46.2</w:t>
            </w:r>
          </w:p>
        </w:tc>
      </w:tr>
      <w:tr w:rsidR="002918D0" w:rsidRPr="00F51F6F" w:rsidTr="002918D0">
        <w:tc>
          <w:tcPr>
            <w:tcW w:w="0" w:type="auto"/>
            <w:shd w:val="clear" w:color="auto" w:fill="FFFFFF"/>
          </w:tcPr>
          <w:p w:rsidR="002918D0" w:rsidRPr="00EA7AD2" w:rsidRDefault="002918D0" w:rsidP="002918D0">
            <w:pPr>
              <w:jc w:val="both"/>
              <w:rPr>
                <w:rFonts w:ascii="Calibri" w:hAnsi="Calibri"/>
                <w:bCs/>
                <w:sz w:val="18"/>
                <w:szCs w:val="18"/>
              </w:rPr>
            </w:pPr>
            <w:r>
              <w:rPr>
                <w:rFonts w:ascii="Calibri" w:hAnsi="Calibri"/>
                <w:bCs/>
                <w:sz w:val="18"/>
                <w:szCs w:val="18"/>
                <w:vertAlign w:val="superscript"/>
              </w:rPr>
              <w:t>24</w:t>
            </w:r>
            <w:r>
              <w:rPr>
                <w:rFonts w:ascii="Calibri" w:hAnsi="Calibri"/>
                <w:bCs/>
                <w:sz w:val="18"/>
                <w:szCs w:val="18"/>
              </w:rPr>
              <w:t>Na</w:t>
            </w:r>
          </w:p>
        </w:tc>
        <w:tc>
          <w:tcPr>
            <w:tcW w:w="1372" w:type="dxa"/>
            <w:tcBorders>
              <w:top w:val="nil"/>
              <w:bottom w:val="nil"/>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3.4(3)</w:t>
            </w:r>
          </w:p>
        </w:tc>
        <w:tc>
          <w:tcPr>
            <w:tcW w:w="1530"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7.15</w:t>
            </w:r>
          </w:p>
        </w:tc>
      </w:tr>
      <w:tr w:rsidR="002918D0" w:rsidRPr="00F51F6F" w:rsidTr="002918D0">
        <w:tc>
          <w:tcPr>
            <w:tcW w:w="0" w:type="auto"/>
            <w:shd w:val="clear" w:color="auto" w:fill="FFFFFF"/>
          </w:tcPr>
          <w:p w:rsidR="002918D0" w:rsidRPr="00EA7AD2" w:rsidRDefault="002918D0" w:rsidP="002918D0">
            <w:pPr>
              <w:jc w:val="both"/>
              <w:rPr>
                <w:rFonts w:ascii="Calibri" w:hAnsi="Calibri"/>
                <w:bCs/>
                <w:sz w:val="18"/>
                <w:szCs w:val="18"/>
              </w:rPr>
            </w:pPr>
            <w:r>
              <w:rPr>
                <w:rFonts w:ascii="Calibri" w:hAnsi="Calibri"/>
                <w:bCs/>
                <w:sz w:val="18"/>
                <w:szCs w:val="18"/>
                <w:vertAlign w:val="superscript"/>
              </w:rPr>
              <w:t>28</w:t>
            </w:r>
            <w:r>
              <w:rPr>
                <w:rFonts w:ascii="Calibri" w:hAnsi="Calibri"/>
                <w:bCs/>
                <w:sz w:val="18"/>
                <w:szCs w:val="18"/>
              </w:rPr>
              <w:t>Mg</w:t>
            </w:r>
          </w:p>
        </w:tc>
        <w:tc>
          <w:tcPr>
            <w:tcW w:w="1372" w:type="dxa"/>
            <w:tcBorders>
              <w:top w:val="nil"/>
              <w:bottom w:val="nil"/>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0.047(4)</w:t>
            </w:r>
          </w:p>
        </w:tc>
        <w:tc>
          <w:tcPr>
            <w:tcW w:w="1530"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0.42</w:t>
            </w:r>
          </w:p>
        </w:tc>
      </w:tr>
      <w:tr w:rsidR="002918D0" w:rsidRPr="00F51F6F" w:rsidTr="002918D0">
        <w:tc>
          <w:tcPr>
            <w:tcW w:w="0" w:type="auto"/>
            <w:tcBorders>
              <w:bottom w:val="single" w:sz="12" w:space="0" w:color="auto"/>
            </w:tcBorders>
            <w:shd w:val="clear" w:color="auto" w:fill="FFFFFF"/>
          </w:tcPr>
          <w:p w:rsidR="002918D0" w:rsidRPr="00EA7AD2" w:rsidRDefault="002918D0" w:rsidP="002918D0">
            <w:pPr>
              <w:jc w:val="both"/>
              <w:rPr>
                <w:rFonts w:ascii="Calibri" w:hAnsi="Calibri"/>
                <w:bCs/>
                <w:sz w:val="18"/>
                <w:szCs w:val="18"/>
              </w:rPr>
            </w:pPr>
            <w:r>
              <w:rPr>
                <w:rFonts w:ascii="Calibri" w:hAnsi="Calibri"/>
                <w:bCs/>
                <w:sz w:val="18"/>
                <w:szCs w:val="18"/>
                <w:vertAlign w:val="superscript"/>
              </w:rPr>
              <w:t>34m</w:t>
            </w:r>
            <w:r>
              <w:rPr>
                <w:rFonts w:ascii="Calibri" w:hAnsi="Calibri"/>
                <w:bCs/>
                <w:sz w:val="18"/>
                <w:szCs w:val="18"/>
              </w:rPr>
              <w:t>Cl</w:t>
            </w:r>
          </w:p>
        </w:tc>
        <w:tc>
          <w:tcPr>
            <w:tcW w:w="1372" w:type="dxa"/>
            <w:tcBorders>
              <w:top w:val="nil"/>
              <w:bottom w:val="single" w:sz="12"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121(24)</w:t>
            </w:r>
          </w:p>
        </w:tc>
        <w:tc>
          <w:tcPr>
            <w:tcW w:w="1530" w:type="dxa"/>
            <w:tcBorders>
              <w:bottom w:val="single" w:sz="12"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46.2</w:t>
            </w:r>
          </w:p>
        </w:tc>
      </w:tr>
    </w:tbl>
    <w:tbl>
      <w:tblPr>
        <w:tblpPr w:leftFromText="180" w:rightFromText="180" w:vertAnchor="text" w:horzAnchor="margin" w:tblpXSpec="right" w:tblpY="916"/>
        <w:tblW w:w="0" w:type="auto"/>
        <w:tblBorders>
          <w:top w:val="single" w:sz="18" w:space="0" w:color="auto"/>
          <w:bottom w:val="single" w:sz="18" w:space="0" w:color="auto"/>
        </w:tblBorders>
        <w:shd w:val="clear" w:color="auto" w:fill="FFFFFF"/>
        <w:tblLook w:val="04A0" w:firstRow="1" w:lastRow="0" w:firstColumn="1" w:lastColumn="0" w:noHBand="0" w:noVBand="1"/>
      </w:tblPr>
      <w:tblGrid>
        <w:gridCol w:w="770"/>
        <w:gridCol w:w="1372"/>
        <w:gridCol w:w="1548"/>
        <w:gridCol w:w="1440"/>
      </w:tblGrid>
      <w:tr w:rsidR="002918D0" w:rsidRPr="00F51F6F" w:rsidTr="002918D0">
        <w:tc>
          <w:tcPr>
            <w:tcW w:w="0" w:type="auto"/>
            <w:tcBorders>
              <w:bottom w:val="single" w:sz="4" w:space="0" w:color="auto"/>
            </w:tcBorders>
            <w:shd w:val="clear" w:color="auto" w:fill="FFFFFF"/>
          </w:tcPr>
          <w:p w:rsidR="002918D0" w:rsidRPr="00575FB1" w:rsidRDefault="002918D0" w:rsidP="002918D0">
            <w:pPr>
              <w:jc w:val="both"/>
              <w:rPr>
                <w:rFonts w:ascii="Calibri" w:hAnsi="Calibri"/>
                <w:bCs/>
                <w:sz w:val="18"/>
                <w:szCs w:val="18"/>
              </w:rPr>
            </w:pPr>
            <w:r>
              <w:rPr>
                <w:rFonts w:ascii="Calibri" w:hAnsi="Calibri"/>
                <w:bCs/>
                <w:sz w:val="18"/>
                <w:szCs w:val="18"/>
              </w:rPr>
              <w:t>Nuclide</w:t>
            </w:r>
          </w:p>
        </w:tc>
        <w:tc>
          <w:tcPr>
            <w:tcW w:w="1372" w:type="dxa"/>
            <w:tcBorders>
              <w:bottom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 xml:space="preserve">Total Measured Production, </w:t>
            </w:r>
            <w:proofErr w:type="spellStart"/>
            <w:r>
              <w:rPr>
                <w:rFonts w:cstheme="minorHAnsi"/>
                <w:sz w:val="20"/>
                <w:szCs w:val="20"/>
              </w:rPr>
              <w:t>μ</w:t>
            </w:r>
            <w:r>
              <w:rPr>
                <w:sz w:val="20"/>
                <w:szCs w:val="20"/>
              </w:rPr>
              <w:t>Ci</w:t>
            </w:r>
            <w:proofErr w:type="spellEnd"/>
            <w:r>
              <w:rPr>
                <w:rFonts w:ascii="Calibri" w:hAnsi="Calibri"/>
                <w:sz w:val="18"/>
                <w:szCs w:val="18"/>
              </w:rPr>
              <w:t xml:space="preserve"> </w:t>
            </w:r>
          </w:p>
        </w:tc>
        <w:tc>
          <w:tcPr>
            <w:tcW w:w="1548" w:type="dxa"/>
            <w:tcBorders>
              <w:bottom w:val="single" w:sz="4" w:space="0" w:color="auto"/>
            </w:tcBorders>
            <w:shd w:val="clear" w:color="auto" w:fill="FFFFFF"/>
          </w:tcPr>
          <w:p w:rsidR="002918D0" w:rsidRPr="00F523E6" w:rsidRDefault="002918D0" w:rsidP="002918D0">
            <w:pPr>
              <w:jc w:val="both"/>
              <w:rPr>
                <w:rFonts w:ascii="Calibri" w:hAnsi="Calibri"/>
                <w:sz w:val="18"/>
                <w:szCs w:val="18"/>
              </w:rPr>
            </w:pPr>
            <w:r>
              <w:rPr>
                <w:rFonts w:ascii="Calibri" w:hAnsi="Calibri"/>
                <w:sz w:val="18"/>
                <w:szCs w:val="18"/>
              </w:rPr>
              <w:t xml:space="preserve">PACE4 Estimated Production, </w:t>
            </w:r>
            <w:proofErr w:type="spellStart"/>
            <w:r>
              <w:rPr>
                <w:rFonts w:cstheme="minorHAnsi"/>
                <w:sz w:val="20"/>
                <w:szCs w:val="20"/>
              </w:rPr>
              <w:t>μ</w:t>
            </w:r>
            <w:r>
              <w:rPr>
                <w:sz w:val="20"/>
                <w:szCs w:val="20"/>
              </w:rPr>
              <w:t>Ci</w:t>
            </w:r>
            <w:proofErr w:type="spellEnd"/>
          </w:p>
        </w:tc>
        <w:tc>
          <w:tcPr>
            <w:tcW w:w="1440" w:type="dxa"/>
            <w:tcBorders>
              <w:bottom w:val="single" w:sz="4" w:space="0" w:color="auto"/>
            </w:tcBorders>
            <w:shd w:val="clear" w:color="auto" w:fill="FFFFFF"/>
          </w:tcPr>
          <w:p w:rsidR="002918D0" w:rsidRDefault="002918D0" w:rsidP="002918D0">
            <w:pPr>
              <w:jc w:val="both"/>
              <w:rPr>
                <w:rFonts w:ascii="Calibri" w:hAnsi="Calibri"/>
                <w:sz w:val="18"/>
                <w:szCs w:val="18"/>
              </w:rPr>
            </w:pPr>
            <w:proofErr w:type="spellStart"/>
            <w:r>
              <w:rPr>
                <w:rFonts w:ascii="Calibri" w:hAnsi="Calibri"/>
                <w:sz w:val="18"/>
                <w:szCs w:val="18"/>
              </w:rPr>
              <w:t>Lisfus</w:t>
            </w:r>
            <w:proofErr w:type="spellEnd"/>
            <w:r>
              <w:rPr>
                <w:rFonts w:ascii="Calibri" w:hAnsi="Calibri"/>
                <w:sz w:val="18"/>
                <w:szCs w:val="18"/>
              </w:rPr>
              <w:t xml:space="preserve"> Estimated Production, </w:t>
            </w:r>
            <w:proofErr w:type="spellStart"/>
            <w:r>
              <w:rPr>
                <w:rFonts w:cstheme="minorHAnsi"/>
                <w:sz w:val="20"/>
                <w:szCs w:val="20"/>
              </w:rPr>
              <w:t>μ</w:t>
            </w:r>
            <w:r>
              <w:rPr>
                <w:sz w:val="20"/>
                <w:szCs w:val="20"/>
              </w:rPr>
              <w:t>Ci</w:t>
            </w:r>
            <w:proofErr w:type="spellEnd"/>
          </w:p>
        </w:tc>
      </w:tr>
      <w:tr w:rsidR="002918D0" w:rsidRPr="00F51F6F" w:rsidTr="002918D0">
        <w:tc>
          <w:tcPr>
            <w:tcW w:w="0" w:type="auto"/>
            <w:tcBorders>
              <w:top w:val="single" w:sz="4" w:space="0" w:color="auto"/>
            </w:tcBorders>
            <w:shd w:val="clear" w:color="auto" w:fill="FFFFFF"/>
          </w:tcPr>
          <w:p w:rsidR="002918D0" w:rsidRPr="00352621" w:rsidRDefault="002918D0" w:rsidP="002918D0">
            <w:pPr>
              <w:jc w:val="both"/>
              <w:rPr>
                <w:rFonts w:ascii="Calibri" w:hAnsi="Calibri"/>
                <w:bCs/>
                <w:sz w:val="18"/>
                <w:szCs w:val="18"/>
              </w:rPr>
            </w:pPr>
            <w:r>
              <w:rPr>
                <w:rFonts w:ascii="Calibri" w:hAnsi="Calibri"/>
                <w:bCs/>
                <w:sz w:val="18"/>
                <w:szCs w:val="18"/>
                <w:vertAlign w:val="superscript"/>
              </w:rPr>
              <w:t>43</w:t>
            </w:r>
            <w:r>
              <w:rPr>
                <w:rFonts w:ascii="Calibri" w:hAnsi="Calibri"/>
                <w:bCs/>
                <w:sz w:val="18"/>
                <w:szCs w:val="18"/>
              </w:rPr>
              <w:t>Sc</w:t>
            </w:r>
          </w:p>
        </w:tc>
        <w:tc>
          <w:tcPr>
            <w:tcW w:w="1372" w:type="dxa"/>
            <w:tcBorders>
              <w:top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1.16(8)</w:t>
            </w:r>
          </w:p>
        </w:tc>
        <w:tc>
          <w:tcPr>
            <w:tcW w:w="1548" w:type="dxa"/>
            <w:tcBorders>
              <w:top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1.76</w:t>
            </w:r>
          </w:p>
        </w:tc>
        <w:tc>
          <w:tcPr>
            <w:tcW w:w="1440" w:type="dxa"/>
            <w:tcBorders>
              <w:top w:val="single" w:sz="4"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4.11</w:t>
            </w:r>
          </w:p>
        </w:tc>
      </w:tr>
      <w:tr w:rsidR="002918D0" w:rsidRPr="00F51F6F" w:rsidTr="002918D0">
        <w:tc>
          <w:tcPr>
            <w:tcW w:w="0" w:type="auto"/>
            <w:shd w:val="clear" w:color="auto" w:fill="FFFFFF"/>
          </w:tcPr>
          <w:p w:rsidR="002918D0" w:rsidRPr="00352621" w:rsidRDefault="002918D0" w:rsidP="002918D0">
            <w:pPr>
              <w:jc w:val="both"/>
              <w:rPr>
                <w:rFonts w:ascii="Calibri" w:hAnsi="Calibri"/>
                <w:bCs/>
                <w:sz w:val="18"/>
                <w:szCs w:val="18"/>
              </w:rPr>
            </w:pPr>
            <w:r>
              <w:rPr>
                <w:rFonts w:ascii="Calibri" w:hAnsi="Calibri"/>
                <w:bCs/>
                <w:sz w:val="18"/>
                <w:szCs w:val="18"/>
                <w:vertAlign w:val="superscript"/>
              </w:rPr>
              <w:t>44m</w:t>
            </w:r>
            <w:r>
              <w:rPr>
                <w:rFonts w:ascii="Calibri" w:hAnsi="Calibri"/>
                <w:bCs/>
                <w:sz w:val="18"/>
                <w:szCs w:val="18"/>
              </w:rPr>
              <w:t>Sc</w:t>
            </w:r>
          </w:p>
        </w:tc>
        <w:tc>
          <w:tcPr>
            <w:tcW w:w="1372" w:type="dxa"/>
            <w:tcBorders>
              <w:bottom w:val="nil"/>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0.10(1)</w:t>
            </w:r>
          </w:p>
        </w:tc>
        <w:tc>
          <w:tcPr>
            <w:tcW w:w="1548"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0.14</w:t>
            </w:r>
          </w:p>
        </w:tc>
        <w:tc>
          <w:tcPr>
            <w:tcW w:w="1440"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0.79</w:t>
            </w:r>
          </w:p>
        </w:tc>
      </w:tr>
      <w:tr w:rsidR="002918D0" w:rsidRPr="00F51F6F" w:rsidTr="002918D0">
        <w:tc>
          <w:tcPr>
            <w:tcW w:w="0" w:type="auto"/>
            <w:shd w:val="clear" w:color="auto" w:fill="FFFFFF"/>
          </w:tcPr>
          <w:p w:rsidR="002918D0" w:rsidRPr="00352621" w:rsidRDefault="002918D0" w:rsidP="002918D0">
            <w:pPr>
              <w:jc w:val="both"/>
              <w:rPr>
                <w:rFonts w:ascii="Calibri" w:hAnsi="Calibri"/>
                <w:bCs/>
                <w:sz w:val="18"/>
                <w:szCs w:val="18"/>
              </w:rPr>
            </w:pPr>
            <w:r>
              <w:rPr>
                <w:rFonts w:ascii="Calibri" w:hAnsi="Calibri"/>
                <w:bCs/>
                <w:sz w:val="18"/>
                <w:szCs w:val="18"/>
                <w:vertAlign w:val="superscript"/>
              </w:rPr>
              <w:t>48</w:t>
            </w:r>
            <w:r>
              <w:rPr>
                <w:rFonts w:ascii="Calibri" w:hAnsi="Calibri"/>
                <w:bCs/>
                <w:sz w:val="18"/>
                <w:szCs w:val="18"/>
              </w:rPr>
              <w:t>V</w:t>
            </w:r>
          </w:p>
        </w:tc>
        <w:tc>
          <w:tcPr>
            <w:tcW w:w="1372" w:type="dxa"/>
            <w:tcBorders>
              <w:top w:val="nil"/>
              <w:bottom w:val="nil"/>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0.016(6)</w:t>
            </w:r>
          </w:p>
        </w:tc>
        <w:tc>
          <w:tcPr>
            <w:tcW w:w="1548"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0.038</w:t>
            </w:r>
          </w:p>
        </w:tc>
        <w:tc>
          <w:tcPr>
            <w:tcW w:w="1440"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0.011</w:t>
            </w:r>
          </w:p>
        </w:tc>
      </w:tr>
      <w:tr w:rsidR="002918D0" w:rsidRPr="00F51F6F" w:rsidTr="002918D0">
        <w:tc>
          <w:tcPr>
            <w:tcW w:w="0" w:type="auto"/>
            <w:shd w:val="clear" w:color="auto" w:fill="FFFFFF"/>
          </w:tcPr>
          <w:p w:rsidR="002918D0" w:rsidRPr="00352621" w:rsidRDefault="002918D0" w:rsidP="002918D0">
            <w:pPr>
              <w:jc w:val="both"/>
              <w:rPr>
                <w:rFonts w:ascii="Calibri" w:hAnsi="Calibri"/>
                <w:bCs/>
                <w:sz w:val="18"/>
                <w:szCs w:val="18"/>
              </w:rPr>
            </w:pPr>
            <w:r>
              <w:rPr>
                <w:rFonts w:ascii="Calibri" w:hAnsi="Calibri"/>
                <w:bCs/>
                <w:sz w:val="18"/>
                <w:szCs w:val="18"/>
                <w:vertAlign w:val="superscript"/>
              </w:rPr>
              <w:t>48</w:t>
            </w:r>
            <w:r>
              <w:rPr>
                <w:rFonts w:ascii="Calibri" w:hAnsi="Calibri"/>
                <w:bCs/>
                <w:sz w:val="18"/>
                <w:szCs w:val="18"/>
              </w:rPr>
              <w:t>Cr</w:t>
            </w:r>
          </w:p>
        </w:tc>
        <w:tc>
          <w:tcPr>
            <w:tcW w:w="1372" w:type="dxa"/>
            <w:tcBorders>
              <w:top w:val="nil"/>
              <w:bottom w:val="nil"/>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0.021(5)</w:t>
            </w:r>
          </w:p>
        </w:tc>
        <w:tc>
          <w:tcPr>
            <w:tcW w:w="1548"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0.15</w:t>
            </w:r>
          </w:p>
        </w:tc>
        <w:tc>
          <w:tcPr>
            <w:tcW w:w="1440" w:type="dxa"/>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0.56</w:t>
            </w:r>
          </w:p>
        </w:tc>
      </w:tr>
      <w:tr w:rsidR="002918D0" w:rsidRPr="00F51F6F" w:rsidTr="002918D0">
        <w:tc>
          <w:tcPr>
            <w:tcW w:w="0" w:type="auto"/>
            <w:tcBorders>
              <w:bottom w:val="single" w:sz="12" w:space="0" w:color="auto"/>
            </w:tcBorders>
            <w:shd w:val="clear" w:color="auto" w:fill="FFFFFF"/>
          </w:tcPr>
          <w:p w:rsidR="002918D0" w:rsidRPr="00352621" w:rsidRDefault="002918D0" w:rsidP="002918D0">
            <w:pPr>
              <w:jc w:val="both"/>
              <w:rPr>
                <w:rFonts w:ascii="Calibri" w:hAnsi="Calibri"/>
                <w:bCs/>
                <w:sz w:val="18"/>
                <w:szCs w:val="18"/>
              </w:rPr>
            </w:pPr>
            <w:r>
              <w:rPr>
                <w:rFonts w:ascii="Calibri" w:hAnsi="Calibri"/>
                <w:bCs/>
                <w:sz w:val="18"/>
                <w:szCs w:val="18"/>
                <w:vertAlign w:val="superscript"/>
              </w:rPr>
              <w:t>52</w:t>
            </w:r>
            <w:r>
              <w:rPr>
                <w:rFonts w:ascii="Calibri" w:hAnsi="Calibri"/>
                <w:bCs/>
                <w:sz w:val="18"/>
                <w:szCs w:val="18"/>
              </w:rPr>
              <w:t>Mn</w:t>
            </w:r>
          </w:p>
        </w:tc>
        <w:tc>
          <w:tcPr>
            <w:tcW w:w="1372" w:type="dxa"/>
            <w:tcBorders>
              <w:top w:val="nil"/>
              <w:bottom w:val="single" w:sz="12"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0.018(1)</w:t>
            </w:r>
          </w:p>
        </w:tc>
        <w:tc>
          <w:tcPr>
            <w:tcW w:w="1548" w:type="dxa"/>
            <w:tcBorders>
              <w:bottom w:val="single" w:sz="12"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0.057</w:t>
            </w:r>
          </w:p>
        </w:tc>
        <w:tc>
          <w:tcPr>
            <w:tcW w:w="1440" w:type="dxa"/>
            <w:tcBorders>
              <w:bottom w:val="single" w:sz="12" w:space="0" w:color="auto"/>
            </w:tcBorders>
            <w:shd w:val="clear" w:color="auto" w:fill="FFFFFF"/>
          </w:tcPr>
          <w:p w:rsidR="002918D0" w:rsidRPr="00575FB1" w:rsidRDefault="002918D0" w:rsidP="002918D0">
            <w:pPr>
              <w:jc w:val="both"/>
              <w:rPr>
                <w:rFonts w:ascii="Calibri" w:hAnsi="Calibri"/>
                <w:sz w:val="18"/>
                <w:szCs w:val="18"/>
              </w:rPr>
            </w:pPr>
            <w:r>
              <w:rPr>
                <w:rFonts w:ascii="Calibri" w:hAnsi="Calibri"/>
                <w:sz w:val="18"/>
                <w:szCs w:val="18"/>
              </w:rPr>
              <w:t>0.11</w:t>
            </w:r>
          </w:p>
        </w:tc>
      </w:tr>
    </w:tbl>
    <w:p w:rsidR="007B3642" w:rsidRDefault="002918D0" w:rsidP="00652823">
      <w:pPr>
        <w:rPr>
          <w:sz w:val="20"/>
          <w:szCs w:val="20"/>
        </w:rPr>
      </w:pPr>
      <w:r w:rsidRPr="00352621">
        <w:rPr>
          <w:noProof/>
          <w:sz w:val="20"/>
          <w:szCs w:val="20"/>
        </w:rPr>
        <mc:AlternateContent>
          <mc:Choice Requires="wps">
            <w:drawing>
              <wp:anchor distT="45720" distB="45720" distL="114300" distR="114300" simplePos="0" relativeHeight="251666432" behindDoc="0" locked="0" layoutInCell="1" allowOverlap="1" wp14:anchorId="0964BDE7" wp14:editId="78D5F765">
                <wp:simplePos x="0" y="0"/>
                <wp:positionH relativeFrom="margin">
                  <wp:posOffset>-48260</wp:posOffset>
                </wp:positionH>
                <wp:positionV relativeFrom="paragraph">
                  <wp:posOffset>2361565</wp:posOffset>
                </wp:positionV>
                <wp:extent cx="2486025" cy="1404620"/>
                <wp:effectExtent l="0" t="0" r="9525"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404620"/>
                        </a:xfrm>
                        <a:prstGeom prst="rect">
                          <a:avLst/>
                        </a:prstGeom>
                        <a:solidFill>
                          <a:srgbClr val="FFFFFF"/>
                        </a:solidFill>
                        <a:ln w="9525">
                          <a:noFill/>
                          <a:miter lim="800000"/>
                          <a:headEnd/>
                          <a:tailEnd/>
                        </a:ln>
                      </wps:spPr>
                      <wps:txbx>
                        <w:txbxContent>
                          <w:p w:rsidR="00352621" w:rsidRPr="00352621" w:rsidRDefault="00352621" w:rsidP="00352621">
                            <w:pPr>
                              <w:pStyle w:val="NoSpacing"/>
                              <w:rPr>
                                <w:sz w:val="20"/>
                                <w:szCs w:val="20"/>
                              </w:rPr>
                            </w:pPr>
                            <w:r w:rsidRPr="00352621">
                              <w:rPr>
                                <w:sz w:val="20"/>
                                <w:szCs w:val="20"/>
                              </w:rPr>
                              <w:t>T</w:t>
                            </w:r>
                            <w:r w:rsidR="00EF5C02">
                              <w:rPr>
                                <w:sz w:val="20"/>
                                <w:szCs w:val="20"/>
                              </w:rPr>
                              <w:t>ABLE</w:t>
                            </w:r>
                            <w:r w:rsidRPr="00352621">
                              <w:rPr>
                                <w:sz w:val="20"/>
                                <w:szCs w:val="20"/>
                              </w:rPr>
                              <w:t xml:space="preserve"> 1.</w:t>
                            </w:r>
                            <w:r w:rsidR="00730DA9">
                              <w:rPr>
                                <w:sz w:val="20"/>
                                <w:szCs w:val="20"/>
                              </w:rPr>
                              <w:t xml:space="preserve"> </w:t>
                            </w:r>
                            <w:r w:rsidR="00EF5C02">
                              <w:rPr>
                                <w:sz w:val="20"/>
                                <w:szCs w:val="20"/>
                              </w:rPr>
                              <w:t>Measured and Estimated Activities of Fragmentation Products at EOB.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4BDE7" id="_x0000_s1028" type="#_x0000_t202" style="position:absolute;margin-left:-3.8pt;margin-top:185.95pt;width:195.7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GIQIAACMEAAAOAAAAZHJzL2Uyb0RvYy54bWysU8GO2yAQvVfqPyDujR3LSbNWnNU221SV&#10;tttKu/0AjHGMCgwFEjv9+g44m0bbW1UOCJiZx5s3M+vbUStyFM5LMDWdz3JKhOHQSrOv6ffn3bsV&#10;JT4w0zIFRtT0JDy93bx9sx5sJQroQbXCEQQxvhpsTfsQbJVlnvdCMz8DKwwaO3CaBby6fdY6NiC6&#10;VlmR58tsANdaB1x4j6/3k5FuEn7XCR6+dp0XgaiaIreQdpf2Ju7ZZs2qvWO2l/xMg/0DC82kwU8v&#10;UPcsMHJw8i8oLbkDD12YcdAZdJ3kIuWA2czzV9k89cyKlAuK4+1FJv//YPnj8Zsjsq3pghLDNJbo&#10;WYyBfICRFFGdwfoKnZ4suoURn7HKKVNvH4D/8MTAtmdmL+6cg6EXrEV28xiZXYVOOD6CNMMXaPEb&#10;dgiQgMbO6SgdikEQHat0ulQmUuH4WJSrZV4gRY62eZmXyyLVLmPVS7h1PnwSoEk81NRh6RM8Oz74&#10;EOmw6sUl/uZByXYnlUoXt2+2ypEjwzbZpZUyeOWmDBlqerNAIjHKQIxPHaRlwDZWUtd0lcc1NVaU&#10;46Npk0tgUk1nZKLMWZ8oySROGJsxFeIiewPtCQVzMHUtThkeenC/KBmwY2vqfx6YE5SozwZFv5mX&#10;ZWzxdCkX71Eh4q4tzbWFGY5QNQ2UTMdtSGOR5LB3WJydTLLFKk5MzpSxE5Oa56mJrX59T15/Znvz&#10;GwAA//8DAFBLAwQUAAYACAAAACEAoYXp0+AAAAAKAQAADwAAAGRycy9kb3ducmV2LnhtbEyPy07D&#10;MBBF90j8gzVI7FonRH2lcaqKig0LJAoSLN3YiaPGY8t20/D3DCu6m9Ec3Tm32k12YKMOsXcoIJ9n&#10;wDQ2TvXYCfj8eJmtgcUkUcnBoRbwoyPs6vu7SpbKXfFdj8fUMQrBWEoBJiVfch4bo62Mc+c10q11&#10;wcpEa+i4CvJK4XbgT1m25Fb2SB+M9PrZ6OZ8vFgBX9b06hDevls1jIfXdr/wU/BCPD5M+y2wpKf0&#10;D8OfPqlDTU4nd0EV2SBgtloSKaBY5RtgBBTrgoaTgMWmyIHXFb+tUP8CAAD//wMAUEsBAi0AFAAG&#10;AAgAAAAhALaDOJL+AAAA4QEAABMAAAAAAAAAAAAAAAAAAAAAAFtDb250ZW50X1R5cGVzXS54bWxQ&#10;SwECLQAUAAYACAAAACEAOP0h/9YAAACUAQAACwAAAAAAAAAAAAAAAAAvAQAAX3JlbHMvLnJlbHNQ&#10;SwECLQAUAAYACAAAACEAdQCexiECAAAjBAAADgAAAAAAAAAAAAAAAAAuAgAAZHJzL2Uyb0RvYy54&#10;bWxQSwECLQAUAAYACAAAACEAoYXp0+AAAAAKAQAADwAAAAAAAAAAAAAAAAB7BAAAZHJzL2Rvd25y&#10;ZXYueG1sUEsFBgAAAAAEAAQA8wAAAIgFAAAAAA==&#10;" stroked="f">
                <v:textbox style="mso-fit-shape-to-text:t">
                  <w:txbxContent>
                    <w:p w:rsidR="00352621" w:rsidRPr="00352621" w:rsidRDefault="00352621" w:rsidP="00352621">
                      <w:pPr>
                        <w:pStyle w:val="NoSpacing"/>
                        <w:rPr>
                          <w:sz w:val="20"/>
                          <w:szCs w:val="20"/>
                        </w:rPr>
                      </w:pPr>
                      <w:r w:rsidRPr="00352621">
                        <w:rPr>
                          <w:sz w:val="20"/>
                          <w:szCs w:val="20"/>
                        </w:rPr>
                        <w:t>T</w:t>
                      </w:r>
                      <w:r w:rsidR="00EF5C02">
                        <w:rPr>
                          <w:sz w:val="20"/>
                          <w:szCs w:val="20"/>
                        </w:rPr>
                        <w:t>ABLE</w:t>
                      </w:r>
                      <w:r w:rsidRPr="00352621">
                        <w:rPr>
                          <w:sz w:val="20"/>
                          <w:szCs w:val="20"/>
                        </w:rPr>
                        <w:t xml:space="preserve"> 1.</w:t>
                      </w:r>
                      <w:r w:rsidR="00730DA9">
                        <w:rPr>
                          <w:sz w:val="20"/>
                          <w:szCs w:val="20"/>
                        </w:rPr>
                        <w:t xml:space="preserve"> </w:t>
                      </w:r>
                      <w:r w:rsidR="00EF5C02">
                        <w:rPr>
                          <w:sz w:val="20"/>
                          <w:szCs w:val="20"/>
                        </w:rPr>
                        <w:t>Measured and Estimated Activities of Fragmentation Products at EOB.</w:t>
                      </w:r>
                    </w:p>
                  </w:txbxContent>
                </v:textbox>
                <w10:wrap type="square" anchorx="margin"/>
              </v:shape>
            </w:pict>
          </mc:Fallback>
        </mc:AlternateContent>
      </w:r>
      <w:r w:rsidRPr="00352621">
        <w:rPr>
          <w:noProof/>
          <w:sz w:val="20"/>
          <w:szCs w:val="20"/>
        </w:rPr>
        <mc:AlternateContent>
          <mc:Choice Requires="wps">
            <w:drawing>
              <wp:anchor distT="45720" distB="45720" distL="114300" distR="114300" simplePos="0" relativeHeight="251668480" behindDoc="0" locked="0" layoutInCell="1" allowOverlap="1" wp14:anchorId="63B36C48" wp14:editId="754DE9CF">
                <wp:simplePos x="0" y="0"/>
                <wp:positionH relativeFrom="margin">
                  <wp:posOffset>2771775</wp:posOffset>
                </wp:positionH>
                <wp:positionV relativeFrom="paragraph">
                  <wp:posOffset>2360930</wp:posOffset>
                </wp:positionV>
                <wp:extent cx="308610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solidFill>
                          <a:srgbClr val="FFFFFF"/>
                        </a:solidFill>
                        <a:ln w="9525">
                          <a:noFill/>
                          <a:miter lim="800000"/>
                          <a:headEnd/>
                          <a:tailEnd/>
                        </a:ln>
                      </wps:spPr>
                      <wps:txbx>
                        <w:txbxContent>
                          <w:p w:rsidR="00352621" w:rsidRPr="00352621" w:rsidRDefault="00352621" w:rsidP="00352621">
                            <w:pPr>
                              <w:pStyle w:val="NoSpacing"/>
                              <w:rPr>
                                <w:sz w:val="20"/>
                                <w:szCs w:val="20"/>
                              </w:rPr>
                            </w:pPr>
                            <w:r w:rsidRPr="00352621">
                              <w:rPr>
                                <w:sz w:val="20"/>
                                <w:szCs w:val="20"/>
                              </w:rPr>
                              <w:t>T</w:t>
                            </w:r>
                            <w:r w:rsidR="00EF5C02">
                              <w:rPr>
                                <w:sz w:val="20"/>
                                <w:szCs w:val="20"/>
                              </w:rPr>
                              <w:t>ABLE</w:t>
                            </w:r>
                            <w:r w:rsidRPr="00352621">
                              <w:rPr>
                                <w:sz w:val="20"/>
                                <w:szCs w:val="20"/>
                              </w:rPr>
                              <w:t xml:space="preserve"> </w:t>
                            </w:r>
                            <w:r>
                              <w:rPr>
                                <w:sz w:val="20"/>
                                <w:szCs w:val="20"/>
                              </w:rPr>
                              <w:t>2</w:t>
                            </w:r>
                            <w:r w:rsidRPr="00352621">
                              <w:rPr>
                                <w:sz w:val="20"/>
                                <w:szCs w:val="20"/>
                              </w:rPr>
                              <w:t>.</w:t>
                            </w:r>
                            <w:r w:rsidR="00EF5C02">
                              <w:rPr>
                                <w:sz w:val="20"/>
                                <w:szCs w:val="20"/>
                              </w:rPr>
                              <w:t xml:space="preserve"> Measured and Estimated Activities of Fusion-Evaporation Products at EOB.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B36C48" id="_x0000_s1029" type="#_x0000_t202" style="position:absolute;margin-left:218.25pt;margin-top:185.9pt;width:243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Z++IwIAACMEAAAOAAAAZHJzL2Uyb0RvYy54bWysU9uO2yAQfa/Uf0C8N7azSZq14qy22aaq&#10;tL1Iu/0AjHGMCgwFEjv9+h1wkkbbt6o8IGCGw8w5h9XdoBU5COclmIoWk5wSYTg00uwq+uN5+25J&#10;iQ/MNEyBERU9Ck/v1m/frHpbiil0oBrhCIIYX/a2ol0ItswyzzuhmZ+AFQaDLTjNAm7dLmsc6xFd&#10;q2ya54usB9dYB1x4j6cPY5CuE37bCh6+ta0XgaiKYm0hzS7NdZyz9YqVO8dsJ/mpDPYPVWgmDT56&#10;gXpggZG9k39BackdeGjDhIPOoG0lF6kH7KbIX3Xz1DErUi9IjrcXmvz/g+VfD98dkU1FF5QYplGi&#10;ZzEE8gEGMo3s9NaXmPRkMS0MeIwqp069fQT+0xMDm46Znbh3DvpOsAarK+LN7OrqiOMjSN1/gQaf&#10;YfsACWhonY7UIRkE0VGl40WZWArHw5t8uShyDHGMFbN8tpgm7TJWnq9b58MnAZrERUUdSp/g2eHR&#10;h1gOK88p8TUPSjZbqVTauF29UY4cGNpkm0bq4FWaMqSv6O18Ok/IBuL95CAtA9pYSV3RZR7HaKxI&#10;x0fTpJTApBrXWIkyJ34iJSM5YaiHJMTNmfYamiMS5mB0Lf4yXHTgflPSo2Mr6n/tmROUqM8GSb8t&#10;ZrNo8bSZzd8jQ8RdR+rrCDMcoSoaKBmXm5C+RaLD3qM4W5loiyqOlZxKRicmNk+/Jlr9ep+y/vzt&#10;9QsAAAD//wMAUEsDBBQABgAIAAAAIQBJK38T4AAAAAsBAAAPAAAAZHJzL2Rvd25yZXYueG1sTI/L&#10;TsMwEEX3lfgHa5DYtU4TUmiIU1VUbFggUZBg6caTOCJ+yHbT8PcMK1jOzNGdc+vdbEY2YYiDswLW&#10;qwwY2tapwfYC3t+elvfAYpJWydFZFPCNEXbN1aKWlXIX+4rTMfWMQmyspACdkq84j61GI+PKebR0&#10;61wwMtEYeq6CvFC4GXmeZRtu5GDpg5YeHzW2X8ezEfBh9KAO4eWzU+N0eO72pZ+DF+Lmet4/AEs4&#10;pz8YfvVJHRpyOrmzVZGNAm6LTUmogOJuTR2I2OY5bU4Cym2RAW9q/r9D8wMAAP//AwBQSwECLQAU&#10;AAYACAAAACEAtoM4kv4AAADhAQAAEwAAAAAAAAAAAAAAAAAAAAAAW0NvbnRlbnRfVHlwZXNdLnht&#10;bFBLAQItABQABgAIAAAAIQA4/SH/1gAAAJQBAAALAAAAAAAAAAAAAAAAAC8BAABfcmVscy8ucmVs&#10;c1BLAQItABQABgAIAAAAIQD3FZ++IwIAACMEAAAOAAAAAAAAAAAAAAAAAC4CAABkcnMvZTJvRG9j&#10;LnhtbFBLAQItABQABgAIAAAAIQBJK38T4AAAAAsBAAAPAAAAAAAAAAAAAAAAAH0EAABkcnMvZG93&#10;bnJldi54bWxQSwUGAAAAAAQABADzAAAAigUAAAAA&#10;" stroked="f">
                <v:textbox style="mso-fit-shape-to-text:t">
                  <w:txbxContent>
                    <w:p w:rsidR="00352621" w:rsidRPr="00352621" w:rsidRDefault="00352621" w:rsidP="00352621">
                      <w:pPr>
                        <w:pStyle w:val="NoSpacing"/>
                        <w:rPr>
                          <w:sz w:val="20"/>
                          <w:szCs w:val="20"/>
                        </w:rPr>
                      </w:pPr>
                      <w:r w:rsidRPr="00352621">
                        <w:rPr>
                          <w:sz w:val="20"/>
                          <w:szCs w:val="20"/>
                        </w:rPr>
                        <w:t>T</w:t>
                      </w:r>
                      <w:r w:rsidR="00EF5C02">
                        <w:rPr>
                          <w:sz w:val="20"/>
                          <w:szCs w:val="20"/>
                        </w:rPr>
                        <w:t>ABLE</w:t>
                      </w:r>
                      <w:r w:rsidRPr="00352621">
                        <w:rPr>
                          <w:sz w:val="20"/>
                          <w:szCs w:val="20"/>
                        </w:rPr>
                        <w:t xml:space="preserve"> </w:t>
                      </w:r>
                      <w:r>
                        <w:rPr>
                          <w:sz w:val="20"/>
                          <w:szCs w:val="20"/>
                        </w:rPr>
                        <w:t>2</w:t>
                      </w:r>
                      <w:r w:rsidRPr="00352621">
                        <w:rPr>
                          <w:sz w:val="20"/>
                          <w:szCs w:val="20"/>
                        </w:rPr>
                        <w:t>.</w:t>
                      </w:r>
                      <w:r w:rsidR="00EF5C02">
                        <w:rPr>
                          <w:sz w:val="20"/>
                          <w:szCs w:val="20"/>
                        </w:rPr>
                        <w:t xml:space="preserve"> Measured and Estimated Activities of Fusion-Evaporation Products at EOB.</w:t>
                      </w:r>
                    </w:p>
                  </w:txbxContent>
                </v:textbox>
                <w10:wrap type="square" anchorx="margin"/>
              </v:shape>
            </w:pict>
          </mc:Fallback>
        </mc:AlternateContent>
      </w:r>
      <w:r w:rsidR="00EA5F6A">
        <w:rPr>
          <w:sz w:val="20"/>
          <w:szCs w:val="20"/>
        </w:rPr>
        <w:t>D</w:t>
      </w:r>
      <w:r w:rsidR="007B3642">
        <w:rPr>
          <w:sz w:val="20"/>
          <w:szCs w:val="20"/>
        </w:rPr>
        <w:t xml:space="preserve">egradation of the </w:t>
      </w:r>
      <w:r w:rsidR="00EA5F6A">
        <w:rPr>
          <w:sz w:val="20"/>
          <w:szCs w:val="20"/>
        </w:rPr>
        <w:t xml:space="preserve">Ti6Al4V window material was limited by using </w:t>
      </w:r>
      <w:r w:rsidR="00EA5F6A">
        <w:rPr>
          <w:sz w:val="20"/>
          <w:szCs w:val="20"/>
          <w:vertAlign w:val="superscript"/>
        </w:rPr>
        <w:t>47</w:t>
      </w:r>
      <w:r w:rsidR="00EA5F6A">
        <w:rPr>
          <w:sz w:val="20"/>
          <w:szCs w:val="20"/>
        </w:rPr>
        <w:t xml:space="preserve">Sc as a radiotracer. This scandium isotope is produced in the </w:t>
      </w:r>
      <w:r w:rsidR="00D64176">
        <w:rPr>
          <w:sz w:val="20"/>
          <w:szCs w:val="20"/>
        </w:rPr>
        <w:t xml:space="preserve">target </w:t>
      </w:r>
      <w:r w:rsidR="00EA5F6A">
        <w:rPr>
          <w:sz w:val="20"/>
          <w:szCs w:val="20"/>
        </w:rPr>
        <w:t xml:space="preserve">window with an activity of 0.5(1) </w:t>
      </w:r>
      <w:proofErr w:type="spellStart"/>
      <w:r w:rsidR="00EA5F6A">
        <w:rPr>
          <w:rFonts w:cstheme="minorHAnsi"/>
          <w:sz w:val="20"/>
          <w:szCs w:val="20"/>
        </w:rPr>
        <w:t>μ</w:t>
      </w:r>
      <w:r w:rsidR="00EA5F6A">
        <w:rPr>
          <w:sz w:val="20"/>
          <w:szCs w:val="20"/>
        </w:rPr>
        <w:t>Ci</w:t>
      </w:r>
      <w:proofErr w:type="spellEnd"/>
      <w:r w:rsidR="00EA5F6A">
        <w:rPr>
          <w:sz w:val="20"/>
          <w:szCs w:val="20"/>
        </w:rPr>
        <w:t xml:space="preserve"> at EOB. However, no activity from </w:t>
      </w:r>
      <w:r w:rsidR="00EA5F6A">
        <w:rPr>
          <w:sz w:val="20"/>
          <w:szCs w:val="20"/>
          <w:vertAlign w:val="superscript"/>
        </w:rPr>
        <w:t>47</w:t>
      </w:r>
      <w:r w:rsidR="00EA5F6A">
        <w:rPr>
          <w:sz w:val="20"/>
          <w:szCs w:val="20"/>
        </w:rPr>
        <w:t xml:space="preserve">Sc was detected in the water or on the ion exchange resins. By finding a limit of detection of the characteristic 159.3 </w:t>
      </w:r>
      <w:proofErr w:type="spellStart"/>
      <w:r w:rsidR="00EA5F6A">
        <w:rPr>
          <w:sz w:val="20"/>
          <w:szCs w:val="20"/>
        </w:rPr>
        <w:t>keV</w:t>
      </w:r>
      <w:proofErr w:type="spellEnd"/>
      <w:r w:rsidR="00EA5F6A">
        <w:rPr>
          <w:sz w:val="20"/>
          <w:szCs w:val="20"/>
        </w:rPr>
        <w:t xml:space="preserve"> </w:t>
      </w:r>
      <w:r w:rsidR="00EA5F6A">
        <w:rPr>
          <w:rFonts w:ascii="Arial" w:hAnsi="Arial" w:cs="Arial"/>
          <w:sz w:val="20"/>
          <w:szCs w:val="20"/>
        </w:rPr>
        <w:t>γ</w:t>
      </w:r>
      <w:r w:rsidR="00EA5F6A">
        <w:rPr>
          <w:sz w:val="20"/>
          <w:szCs w:val="20"/>
        </w:rPr>
        <w:t xml:space="preserve">-ray for </w:t>
      </w:r>
      <w:r w:rsidR="00EA5F6A">
        <w:rPr>
          <w:sz w:val="20"/>
          <w:szCs w:val="20"/>
          <w:vertAlign w:val="superscript"/>
        </w:rPr>
        <w:lastRenderedPageBreak/>
        <w:t>47</w:t>
      </w:r>
      <w:r w:rsidR="00EA5F6A">
        <w:rPr>
          <w:sz w:val="20"/>
          <w:szCs w:val="20"/>
        </w:rPr>
        <w:t xml:space="preserve">Sc, it was found that </w:t>
      </w:r>
      <w:r w:rsidR="00EA5F6A">
        <w:rPr>
          <w:rFonts w:cstheme="minorHAnsi"/>
          <w:sz w:val="20"/>
          <w:szCs w:val="20"/>
        </w:rPr>
        <w:t>≤</w:t>
      </w:r>
      <w:r w:rsidR="00EA5F6A">
        <w:rPr>
          <w:sz w:val="20"/>
          <w:szCs w:val="20"/>
        </w:rPr>
        <w:t xml:space="preserve"> 0.26(</w:t>
      </w:r>
      <w:proofErr w:type="gramStart"/>
      <w:r w:rsidR="00EA5F6A">
        <w:rPr>
          <w:sz w:val="20"/>
          <w:szCs w:val="20"/>
        </w:rPr>
        <w:t>2)%</w:t>
      </w:r>
      <w:proofErr w:type="gramEnd"/>
      <w:r w:rsidR="00EA5F6A">
        <w:rPr>
          <w:sz w:val="20"/>
          <w:szCs w:val="20"/>
        </w:rPr>
        <w:t xml:space="preserve"> of the </w:t>
      </w:r>
      <w:r w:rsidR="00EA5F6A">
        <w:rPr>
          <w:sz w:val="20"/>
          <w:szCs w:val="20"/>
          <w:vertAlign w:val="superscript"/>
        </w:rPr>
        <w:t>47</w:t>
      </w:r>
      <w:r w:rsidR="00EA5F6A">
        <w:rPr>
          <w:sz w:val="20"/>
          <w:szCs w:val="20"/>
        </w:rPr>
        <w:t xml:space="preserve">Sc produced in the window could have </w:t>
      </w:r>
      <w:r w:rsidR="00A96FE1">
        <w:rPr>
          <w:sz w:val="20"/>
          <w:szCs w:val="20"/>
        </w:rPr>
        <w:t>been deposited in</w:t>
      </w:r>
      <w:r w:rsidR="00EA5F6A">
        <w:rPr>
          <w:sz w:val="20"/>
          <w:szCs w:val="20"/>
        </w:rPr>
        <w:t xml:space="preserve"> the water as degradation of the window occurred throughout the irradiation</w:t>
      </w:r>
      <w:r w:rsidR="005F271D">
        <w:rPr>
          <w:sz w:val="20"/>
          <w:szCs w:val="20"/>
        </w:rPr>
        <w:t xml:space="preserve"> </w:t>
      </w:r>
      <w:r w:rsidR="005F271D">
        <w:rPr>
          <w:sz w:val="20"/>
          <w:szCs w:val="20"/>
          <w:vertAlign w:val="superscript"/>
        </w:rPr>
        <w:t>13</w:t>
      </w:r>
      <w:r w:rsidR="00EA5F6A">
        <w:rPr>
          <w:sz w:val="20"/>
          <w:szCs w:val="20"/>
        </w:rPr>
        <w:t xml:space="preserve">. This can be roughly equated to </w:t>
      </w:r>
      <w:r w:rsidR="00374C49">
        <w:rPr>
          <w:rFonts w:cstheme="minorHAnsi"/>
          <w:sz w:val="20"/>
          <w:szCs w:val="20"/>
        </w:rPr>
        <w:t>≤</w:t>
      </w:r>
      <w:r w:rsidR="00374C49">
        <w:rPr>
          <w:sz w:val="20"/>
          <w:szCs w:val="20"/>
        </w:rPr>
        <w:t xml:space="preserve"> </w:t>
      </w:r>
      <w:r w:rsidR="00EA5F6A">
        <w:rPr>
          <w:sz w:val="20"/>
          <w:szCs w:val="20"/>
        </w:rPr>
        <w:t xml:space="preserve">5 </w:t>
      </w:r>
      <w:proofErr w:type="spellStart"/>
      <w:r w:rsidR="00EA5F6A">
        <w:rPr>
          <w:rFonts w:cstheme="minorHAnsi"/>
          <w:sz w:val="20"/>
          <w:szCs w:val="20"/>
        </w:rPr>
        <w:t>μ</w:t>
      </w:r>
      <w:r w:rsidR="00EA5F6A">
        <w:rPr>
          <w:sz w:val="20"/>
          <w:szCs w:val="20"/>
        </w:rPr>
        <w:t>g</w:t>
      </w:r>
      <w:proofErr w:type="spellEnd"/>
      <w:r w:rsidR="00EA5F6A">
        <w:rPr>
          <w:sz w:val="20"/>
          <w:szCs w:val="20"/>
        </w:rPr>
        <w:t xml:space="preserve"> of the 1 g titanium window degrading during the irradiation. </w:t>
      </w:r>
      <w:bookmarkStart w:id="0" w:name="_GoBack"/>
      <w:bookmarkEnd w:id="0"/>
    </w:p>
    <w:p w:rsidR="00F310C6" w:rsidRDefault="00F310C6" w:rsidP="00652823">
      <w:pPr>
        <w:rPr>
          <w:sz w:val="20"/>
          <w:szCs w:val="20"/>
        </w:rPr>
      </w:pPr>
    </w:p>
    <w:p w:rsidR="00A022C2" w:rsidRPr="00166A19" w:rsidRDefault="00166A19" w:rsidP="00652823">
      <w:pPr>
        <w:rPr>
          <w:b/>
          <w:sz w:val="20"/>
          <w:szCs w:val="20"/>
        </w:rPr>
      </w:pPr>
      <w:r w:rsidRPr="00166A19">
        <w:rPr>
          <w:b/>
          <w:sz w:val="20"/>
          <w:szCs w:val="20"/>
        </w:rPr>
        <w:t>References</w:t>
      </w:r>
    </w:p>
    <w:p w:rsidR="00BB1CD6" w:rsidRPr="00BB1CD6" w:rsidRDefault="00166A19" w:rsidP="00BB1CD6">
      <w:pPr>
        <w:rPr>
          <w:sz w:val="20"/>
          <w:szCs w:val="20"/>
        </w:rPr>
      </w:pPr>
      <w:r w:rsidRPr="00166A19">
        <w:rPr>
          <w:sz w:val="20"/>
          <w:szCs w:val="20"/>
        </w:rPr>
        <w:t>1.</w:t>
      </w:r>
      <w:r>
        <w:rPr>
          <w:sz w:val="20"/>
          <w:szCs w:val="20"/>
        </w:rPr>
        <w:t xml:space="preserve"> </w:t>
      </w:r>
      <w:r w:rsidR="00BB1CD6" w:rsidRPr="00BB1CD6">
        <w:rPr>
          <w:sz w:val="20"/>
          <w:szCs w:val="20"/>
        </w:rPr>
        <w:t xml:space="preserve">C. Müller, M. Bunka, S. Haller, U. </w:t>
      </w:r>
      <w:proofErr w:type="spellStart"/>
      <w:r w:rsidR="00BB1CD6" w:rsidRPr="00BB1CD6">
        <w:rPr>
          <w:sz w:val="20"/>
          <w:szCs w:val="20"/>
        </w:rPr>
        <w:t>Köster</w:t>
      </w:r>
      <w:proofErr w:type="spellEnd"/>
      <w:r w:rsidR="00BB1CD6" w:rsidRPr="00BB1CD6">
        <w:rPr>
          <w:sz w:val="20"/>
          <w:szCs w:val="20"/>
        </w:rPr>
        <w:t xml:space="preserve">, V. </w:t>
      </w:r>
      <w:proofErr w:type="spellStart"/>
      <w:r w:rsidR="00BB1CD6" w:rsidRPr="00BB1CD6">
        <w:rPr>
          <w:sz w:val="20"/>
          <w:szCs w:val="20"/>
        </w:rPr>
        <w:t>Groehn</w:t>
      </w:r>
      <w:proofErr w:type="spellEnd"/>
      <w:r w:rsidR="00BB1CD6" w:rsidRPr="00BB1CD6">
        <w:rPr>
          <w:sz w:val="20"/>
          <w:szCs w:val="20"/>
        </w:rPr>
        <w:t xml:space="preserve">, P. Bernhardt, N. van der </w:t>
      </w:r>
      <w:proofErr w:type="spellStart"/>
      <w:r w:rsidR="00BB1CD6" w:rsidRPr="00BB1CD6">
        <w:rPr>
          <w:sz w:val="20"/>
          <w:szCs w:val="20"/>
        </w:rPr>
        <w:t>Meulen</w:t>
      </w:r>
      <w:proofErr w:type="spellEnd"/>
      <w:r w:rsidR="00BB1CD6" w:rsidRPr="00BB1CD6">
        <w:rPr>
          <w:sz w:val="20"/>
          <w:szCs w:val="20"/>
        </w:rPr>
        <w:t xml:space="preserve">, A. </w:t>
      </w:r>
      <w:proofErr w:type="spellStart"/>
      <w:r w:rsidR="00BB1CD6" w:rsidRPr="00BB1CD6">
        <w:rPr>
          <w:sz w:val="20"/>
          <w:szCs w:val="20"/>
        </w:rPr>
        <w:t>Türler</w:t>
      </w:r>
      <w:proofErr w:type="spellEnd"/>
      <w:r w:rsidR="00BB1CD6" w:rsidRPr="00BB1CD6">
        <w:rPr>
          <w:sz w:val="20"/>
          <w:szCs w:val="20"/>
        </w:rPr>
        <w:t xml:space="preserve">, R. </w:t>
      </w:r>
      <w:proofErr w:type="spellStart"/>
      <w:r w:rsidR="00BB1CD6" w:rsidRPr="00BB1CD6">
        <w:rPr>
          <w:sz w:val="20"/>
          <w:szCs w:val="20"/>
        </w:rPr>
        <w:t>Schibli</w:t>
      </w:r>
      <w:proofErr w:type="spellEnd"/>
      <w:r w:rsidR="00BB1CD6" w:rsidRPr="00BB1CD6">
        <w:rPr>
          <w:sz w:val="20"/>
          <w:szCs w:val="20"/>
        </w:rPr>
        <w:t xml:space="preserve">, Journal of Nuclear Medicine </w:t>
      </w:r>
      <w:r w:rsidR="00BB1CD6" w:rsidRPr="00BB1CD6">
        <w:rPr>
          <w:b/>
          <w:bCs/>
          <w:sz w:val="20"/>
          <w:szCs w:val="20"/>
        </w:rPr>
        <w:t>55</w:t>
      </w:r>
      <w:r w:rsidR="00BB1CD6" w:rsidRPr="00BB1CD6">
        <w:rPr>
          <w:sz w:val="20"/>
          <w:szCs w:val="20"/>
        </w:rPr>
        <w:t>, 1658 (2014).</w:t>
      </w:r>
    </w:p>
    <w:p w:rsidR="00166A19" w:rsidRDefault="00BB1CD6" w:rsidP="00F81D66">
      <w:pPr>
        <w:rPr>
          <w:sz w:val="20"/>
          <w:szCs w:val="20"/>
        </w:rPr>
      </w:pPr>
      <w:r>
        <w:rPr>
          <w:sz w:val="20"/>
          <w:szCs w:val="20"/>
        </w:rPr>
        <w:t xml:space="preserve">2. </w:t>
      </w:r>
      <w:r w:rsidR="00F81D66" w:rsidRPr="00BB1CD6">
        <w:rPr>
          <w:sz w:val="20"/>
          <w:szCs w:val="20"/>
        </w:rPr>
        <w:t>C. Müller</w:t>
      </w:r>
      <w:r w:rsidR="00F81D66">
        <w:rPr>
          <w:sz w:val="20"/>
          <w:szCs w:val="20"/>
        </w:rPr>
        <w:t xml:space="preserve">, </w:t>
      </w:r>
      <w:r w:rsidR="00F81D66" w:rsidRPr="00BB1CD6">
        <w:rPr>
          <w:sz w:val="20"/>
          <w:szCs w:val="20"/>
        </w:rPr>
        <w:t>M. Bunka,</w:t>
      </w:r>
      <w:r w:rsidR="00F81D66">
        <w:rPr>
          <w:sz w:val="20"/>
          <w:szCs w:val="20"/>
        </w:rPr>
        <w:t xml:space="preserve"> J. </w:t>
      </w:r>
      <w:proofErr w:type="spellStart"/>
      <w:r w:rsidR="00F81D66">
        <w:rPr>
          <w:sz w:val="20"/>
          <w:szCs w:val="20"/>
        </w:rPr>
        <w:t>Reber</w:t>
      </w:r>
      <w:proofErr w:type="spellEnd"/>
      <w:r w:rsidR="00F81D66">
        <w:rPr>
          <w:sz w:val="20"/>
          <w:szCs w:val="20"/>
        </w:rPr>
        <w:t xml:space="preserve">, C. Fisher, K. </w:t>
      </w:r>
      <w:proofErr w:type="spellStart"/>
      <w:r w:rsidR="00F81D66">
        <w:rPr>
          <w:sz w:val="20"/>
          <w:szCs w:val="20"/>
        </w:rPr>
        <w:t>Zhernosekov</w:t>
      </w:r>
      <w:proofErr w:type="spellEnd"/>
      <w:r w:rsidR="00F81D66">
        <w:rPr>
          <w:sz w:val="20"/>
          <w:szCs w:val="20"/>
        </w:rPr>
        <w:t xml:space="preserve">, A. </w:t>
      </w:r>
      <w:proofErr w:type="spellStart"/>
      <w:r w:rsidR="00F81D66" w:rsidRPr="00BB1CD6">
        <w:rPr>
          <w:sz w:val="20"/>
          <w:szCs w:val="20"/>
        </w:rPr>
        <w:t>Türler</w:t>
      </w:r>
      <w:proofErr w:type="spellEnd"/>
      <w:r w:rsidR="00F81D66" w:rsidRPr="00BB1CD6">
        <w:rPr>
          <w:sz w:val="20"/>
          <w:szCs w:val="20"/>
        </w:rPr>
        <w:t>,</w:t>
      </w:r>
      <w:r w:rsidR="00F81D66">
        <w:rPr>
          <w:sz w:val="20"/>
          <w:szCs w:val="20"/>
        </w:rPr>
        <w:t xml:space="preserve"> </w:t>
      </w:r>
      <w:r w:rsidR="00F81D66" w:rsidRPr="00BB1CD6">
        <w:rPr>
          <w:sz w:val="20"/>
          <w:szCs w:val="20"/>
        </w:rPr>
        <w:t xml:space="preserve">R. </w:t>
      </w:r>
      <w:proofErr w:type="spellStart"/>
      <w:r w:rsidR="00F81D66" w:rsidRPr="00BB1CD6">
        <w:rPr>
          <w:sz w:val="20"/>
          <w:szCs w:val="20"/>
        </w:rPr>
        <w:t>Schibli</w:t>
      </w:r>
      <w:proofErr w:type="spellEnd"/>
      <w:r w:rsidR="00F81D66" w:rsidRPr="00BB1CD6">
        <w:rPr>
          <w:sz w:val="20"/>
          <w:szCs w:val="20"/>
        </w:rPr>
        <w:t>,</w:t>
      </w:r>
      <w:r w:rsidR="00F81D66">
        <w:rPr>
          <w:sz w:val="20"/>
          <w:szCs w:val="20"/>
        </w:rPr>
        <w:t xml:space="preserve"> Journal of Nuclear Medicine </w:t>
      </w:r>
      <w:r w:rsidR="00F81D66">
        <w:rPr>
          <w:b/>
          <w:sz w:val="20"/>
          <w:szCs w:val="20"/>
        </w:rPr>
        <w:t>54</w:t>
      </w:r>
      <w:r w:rsidR="00F81D66">
        <w:rPr>
          <w:sz w:val="20"/>
          <w:szCs w:val="20"/>
        </w:rPr>
        <w:t>, 2168 (2013).</w:t>
      </w:r>
    </w:p>
    <w:p w:rsidR="00F81D66" w:rsidRPr="00F81D66" w:rsidRDefault="00F81D66" w:rsidP="00F81D66">
      <w:pPr>
        <w:rPr>
          <w:sz w:val="20"/>
          <w:szCs w:val="20"/>
        </w:rPr>
      </w:pPr>
      <w:r>
        <w:rPr>
          <w:sz w:val="20"/>
          <w:szCs w:val="20"/>
        </w:rPr>
        <w:t xml:space="preserve">3. </w:t>
      </w:r>
      <w:r w:rsidRPr="00F81D66">
        <w:rPr>
          <w:sz w:val="20"/>
          <w:szCs w:val="20"/>
        </w:rPr>
        <w:t xml:space="preserve">R. </w:t>
      </w:r>
      <w:proofErr w:type="spellStart"/>
      <w:r w:rsidRPr="00F81D66">
        <w:rPr>
          <w:sz w:val="20"/>
          <w:szCs w:val="20"/>
        </w:rPr>
        <w:t>Misiak</w:t>
      </w:r>
      <w:proofErr w:type="spellEnd"/>
      <w:r w:rsidRPr="00F81D66">
        <w:rPr>
          <w:sz w:val="20"/>
          <w:szCs w:val="20"/>
        </w:rPr>
        <w:t xml:space="preserve"> et. al, Journal of </w:t>
      </w:r>
      <w:proofErr w:type="spellStart"/>
      <w:r w:rsidRPr="00F81D66">
        <w:rPr>
          <w:sz w:val="20"/>
          <w:szCs w:val="20"/>
        </w:rPr>
        <w:t>Radioanalytical</w:t>
      </w:r>
      <w:proofErr w:type="spellEnd"/>
      <w:r w:rsidRPr="00F81D66">
        <w:rPr>
          <w:sz w:val="20"/>
          <w:szCs w:val="20"/>
        </w:rPr>
        <w:t xml:space="preserve"> Nuclear Chemistry </w:t>
      </w:r>
      <w:r w:rsidRPr="00F81D66">
        <w:rPr>
          <w:b/>
          <w:bCs/>
          <w:sz w:val="20"/>
          <w:szCs w:val="20"/>
        </w:rPr>
        <w:t>313</w:t>
      </w:r>
      <w:r w:rsidRPr="00F81D66">
        <w:rPr>
          <w:sz w:val="20"/>
          <w:szCs w:val="20"/>
        </w:rPr>
        <w:t>, 429 (2017).</w:t>
      </w:r>
    </w:p>
    <w:p w:rsidR="00F81D66" w:rsidRPr="00F81D66" w:rsidRDefault="00F81D66" w:rsidP="00F81D66">
      <w:pPr>
        <w:rPr>
          <w:sz w:val="20"/>
          <w:szCs w:val="20"/>
        </w:rPr>
      </w:pPr>
      <w:r>
        <w:rPr>
          <w:sz w:val="20"/>
          <w:szCs w:val="20"/>
        </w:rPr>
        <w:t xml:space="preserve">4. </w:t>
      </w:r>
      <w:r w:rsidRPr="00F81D66">
        <w:rPr>
          <w:sz w:val="20"/>
          <w:szCs w:val="20"/>
        </w:rPr>
        <w:t xml:space="preserve">M.U. </w:t>
      </w:r>
      <w:proofErr w:type="spellStart"/>
      <w:r w:rsidRPr="00F81D66">
        <w:rPr>
          <w:sz w:val="20"/>
          <w:szCs w:val="20"/>
        </w:rPr>
        <w:t>Khandaker</w:t>
      </w:r>
      <w:proofErr w:type="spellEnd"/>
      <w:r w:rsidRPr="00F81D66">
        <w:rPr>
          <w:sz w:val="20"/>
          <w:szCs w:val="20"/>
        </w:rPr>
        <w:t xml:space="preserve"> et. al., Applied Radiation and Isotopes </w:t>
      </w:r>
      <w:r w:rsidRPr="00F81D66">
        <w:rPr>
          <w:b/>
          <w:bCs/>
          <w:sz w:val="20"/>
          <w:szCs w:val="20"/>
        </w:rPr>
        <w:t>67</w:t>
      </w:r>
      <w:r w:rsidRPr="00F81D66">
        <w:rPr>
          <w:sz w:val="20"/>
          <w:szCs w:val="20"/>
        </w:rPr>
        <w:t>, 1348 (2009).</w:t>
      </w:r>
    </w:p>
    <w:p w:rsidR="00F81D66" w:rsidRDefault="00F81D66" w:rsidP="00F81D66">
      <w:pPr>
        <w:rPr>
          <w:sz w:val="20"/>
          <w:szCs w:val="20"/>
        </w:rPr>
      </w:pPr>
      <w:r>
        <w:rPr>
          <w:sz w:val="20"/>
          <w:szCs w:val="20"/>
        </w:rPr>
        <w:t xml:space="preserve">5. </w:t>
      </w:r>
      <w:r w:rsidRPr="00F81D66">
        <w:rPr>
          <w:sz w:val="20"/>
          <w:szCs w:val="20"/>
        </w:rPr>
        <w:t xml:space="preserve">L.F. </w:t>
      </w:r>
      <w:proofErr w:type="spellStart"/>
      <w:r w:rsidRPr="00F81D66">
        <w:rPr>
          <w:sz w:val="20"/>
          <w:szCs w:val="20"/>
        </w:rPr>
        <w:t>Mausner</w:t>
      </w:r>
      <w:proofErr w:type="spellEnd"/>
      <w:r w:rsidRPr="00F81D66">
        <w:rPr>
          <w:sz w:val="20"/>
          <w:szCs w:val="20"/>
        </w:rPr>
        <w:t xml:space="preserve">, K.L. </w:t>
      </w:r>
      <w:proofErr w:type="spellStart"/>
      <w:r w:rsidRPr="00F81D66">
        <w:rPr>
          <w:sz w:val="20"/>
          <w:szCs w:val="20"/>
        </w:rPr>
        <w:t>Kolsky</w:t>
      </w:r>
      <w:proofErr w:type="spellEnd"/>
      <w:r w:rsidRPr="00F81D66">
        <w:rPr>
          <w:sz w:val="20"/>
          <w:szCs w:val="20"/>
        </w:rPr>
        <w:t xml:space="preserve">, V. Joshi, S.C. Srivastava, Applied Radiation and Isotopes </w:t>
      </w:r>
      <w:r w:rsidRPr="00F81D66">
        <w:rPr>
          <w:b/>
          <w:bCs/>
          <w:sz w:val="20"/>
          <w:szCs w:val="20"/>
        </w:rPr>
        <w:t>49</w:t>
      </w:r>
      <w:r w:rsidRPr="00F81D66">
        <w:rPr>
          <w:sz w:val="20"/>
          <w:szCs w:val="20"/>
        </w:rPr>
        <w:t>, 285 (1998).</w:t>
      </w:r>
    </w:p>
    <w:p w:rsidR="00F81D66" w:rsidRDefault="00F81D66" w:rsidP="00F81D66">
      <w:pPr>
        <w:rPr>
          <w:sz w:val="20"/>
          <w:szCs w:val="20"/>
        </w:rPr>
      </w:pPr>
      <w:r>
        <w:rPr>
          <w:sz w:val="20"/>
          <w:szCs w:val="20"/>
        </w:rPr>
        <w:t xml:space="preserve">6. </w:t>
      </w:r>
      <w:r w:rsidRPr="00F81D66">
        <w:rPr>
          <w:sz w:val="20"/>
          <w:szCs w:val="20"/>
        </w:rPr>
        <w:t xml:space="preserve">K.A. </w:t>
      </w:r>
      <w:proofErr w:type="spellStart"/>
      <w:r w:rsidRPr="00F81D66">
        <w:rPr>
          <w:sz w:val="20"/>
          <w:szCs w:val="20"/>
        </w:rPr>
        <w:t>Domnanich</w:t>
      </w:r>
      <w:proofErr w:type="spellEnd"/>
      <w:r w:rsidRPr="00F81D66">
        <w:rPr>
          <w:sz w:val="20"/>
          <w:szCs w:val="20"/>
        </w:rPr>
        <w:t xml:space="preserve">, C. Müller, M. </w:t>
      </w:r>
      <w:proofErr w:type="spellStart"/>
      <w:r w:rsidRPr="00F81D66">
        <w:rPr>
          <w:sz w:val="20"/>
          <w:szCs w:val="20"/>
        </w:rPr>
        <w:t>Benešová</w:t>
      </w:r>
      <w:proofErr w:type="spellEnd"/>
      <w:r w:rsidRPr="00F81D66">
        <w:rPr>
          <w:sz w:val="20"/>
          <w:szCs w:val="20"/>
        </w:rPr>
        <w:t xml:space="preserve">, R. Dressler, S. Haller, U. </w:t>
      </w:r>
      <w:proofErr w:type="spellStart"/>
      <w:r w:rsidRPr="00F81D66">
        <w:rPr>
          <w:sz w:val="20"/>
          <w:szCs w:val="20"/>
        </w:rPr>
        <w:t>Köster</w:t>
      </w:r>
      <w:proofErr w:type="spellEnd"/>
      <w:r w:rsidRPr="00F81D66">
        <w:rPr>
          <w:sz w:val="20"/>
          <w:szCs w:val="20"/>
        </w:rPr>
        <w:t xml:space="preserve">, B. </w:t>
      </w:r>
      <w:proofErr w:type="spellStart"/>
      <w:r w:rsidRPr="00F81D66">
        <w:rPr>
          <w:sz w:val="20"/>
          <w:szCs w:val="20"/>
        </w:rPr>
        <w:t>Ponsard</w:t>
      </w:r>
      <w:proofErr w:type="spellEnd"/>
      <w:r w:rsidRPr="00F81D66">
        <w:rPr>
          <w:sz w:val="20"/>
          <w:szCs w:val="20"/>
        </w:rPr>
        <w:t xml:space="preserve">, R. </w:t>
      </w:r>
      <w:proofErr w:type="spellStart"/>
      <w:r w:rsidRPr="00F81D66">
        <w:rPr>
          <w:sz w:val="20"/>
          <w:szCs w:val="20"/>
        </w:rPr>
        <w:t>Schibli</w:t>
      </w:r>
      <w:proofErr w:type="spellEnd"/>
      <w:r w:rsidRPr="00F81D66">
        <w:rPr>
          <w:sz w:val="20"/>
          <w:szCs w:val="20"/>
        </w:rPr>
        <w:t xml:space="preserve">, A. </w:t>
      </w:r>
      <w:proofErr w:type="spellStart"/>
      <w:r w:rsidRPr="00F81D66">
        <w:rPr>
          <w:sz w:val="20"/>
          <w:szCs w:val="20"/>
        </w:rPr>
        <w:t>Türler</w:t>
      </w:r>
      <w:proofErr w:type="spellEnd"/>
      <w:r w:rsidRPr="00F81D66">
        <w:rPr>
          <w:sz w:val="20"/>
          <w:szCs w:val="20"/>
        </w:rPr>
        <w:t xml:space="preserve">, N.P. van der </w:t>
      </w:r>
      <w:proofErr w:type="spellStart"/>
      <w:r w:rsidRPr="00F81D66">
        <w:rPr>
          <w:sz w:val="20"/>
          <w:szCs w:val="20"/>
        </w:rPr>
        <w:t>Meulen</w:t>
      </w:r>
      <w:proofErr w:type="spellEnd"/>
      <w:r w:rsidRPr="00F81D66">
        <w:rPr>
          <w:sz w:val="20"/>
          <w:szCs w:val="20"/>
        </w:rPr>
        <w:t xml:space="preserve">, European Journal of Nuclear Medicine and Molecular Imaging </w:t>
      </w:r>
      <w:r w:rsidRPr="00F81D66">
        <w:rPr>
          <w:b/>
          <w:bCs/>
          <w:sz w:val="20"/>
          <w:szCs w:val="20"/>
        </w:rPr>
        <w:t>2</w:t>
      </w:r>
      <w:r w:rsidRPr="00F81D66">
        <w:rPr>
          <w:sz w:val="20"/>
          <w:szCs w:val="20"/>
        </w:rPr>
        <w:t>, 5 (2017).</w:t>
      </w:r>
    </w:p>
    <w:p w:rsidR="00F81D66" w:rsidRPr="00F81D66" w:rsidRDefault="00F81D66" w:rsidP="00F81D66">
      <w:pPr>
        <w:rPr>
          <w:sz w:val="20"/>
          <w:szCs w:val="20"/>
        </w:rPr>
      </w:pPr>
      <w:r>
        <w:rPr>
          <w:sz w:val="20"/>
          <w:szCs w:val="20"/>
        </w:rPr>
        <w:t xml:space="preserve">7. </w:t>
      </w:r>
      <w:r w:rsidRPr="00F81D66">
        <w:rPr>
          <w:sz w:val="20"/>
          <w:szCs w:val="20"/>
        </w:rPr>
        <w:t xml:space="preserve">S. </w:t>
      </w:r>
      <w:proofErr w:type="spellStart"/>
      <w:r w:rsidRPr="00F81D66">
        <w:rPr>
          <w:sz w:val="20"/>
          <w:szCs w:val="20"/>
        </w:rPr>
        <w:t>Rane</w:t>
      </w:r>
      <w:proofErr w:type="spellEnd"/>
      <w:r w:rsidRPr="00F81D66">
        <w:rPr>
          <w:sz w:val="20"/>
          <w:szCs w:val="20"/>
        </w:rPr>
        <w:t xml:space="preserve">, J.T. Harris, V.N. </w:t>
      </w:r>
      <w:proofErr w:type="spellStart"/>
      <w:r w:rsidRPr="00F81D66">
        <w:rPr>
          <w:sz w:val="20"/>
          <w:szCs w:val="20"/>
        </w:rPr>
        <w:t>Starovoitova</w:t>
      </w:r>
      <w:proofErr w:type="spellEnd"/>
      <w:r w:rsidRPr="00F81D66">
        <w:rPr>
          <w:sz w:val="20"/>
          <w:szCs w:val="20"/>
        </w:rPr>
        <w:t xml:space="preserve">, Applied Radiation and Isotopes </w:t>
      </w:r>
      <w:r w:rsidRPr="00F81D66">
        <w:rPr>
          <w:b/>
          <w:bCs/>
          <w:sz w:val="20"/>
          <w:szCs w:val="20"/>
        </w:rPr>
        <w:t>97</w:t>
      </w:r>
      <w:r w:rsidRPr="00F81D66">
        <w:rPr>
          <w:sz w:val="20"/>
          <w:szCs w:val="20"/>
        </w:rPr>
        <w:t>, 188 (2015).</w:t>
      </w:r>
    </w:p>
    <w:p w:rsidR="00F81D66" w:rsidRPr="00F81D66" w:rsidRDefault="00F81D66" w:rsidP="00F81D66">
      <w:pPr>
        <w:rPr>
          <w:sz w:val="20"/>
          <w:szCs w:val="20"/>
        </w:rPr>
      </w:pPr>
      <w:r>
        <w:rPr>
          <w:sz w:val="20"/>
          <w:szCs w:val="20"/>
        </w:rPr>
        <w:t xml:space="preserve">8. </w:t>
      </w:r>
      <w:r w:rsidRPr="00F81D66">
        <w:rPr>
          <w:sz w:val="20"/>
          <w:szCs w:val="20"/>
        </w:rPr>
        <w:t xml:space="preserve">M. Yagi, K. Kondo, International Journal of Applied Radiation and Isotopes </w:t>
      </w:r>
      <w:r w:rsidRPr="00F81D66">
        <w:rPr>
          <w:b/>
          <w:bCs/>
          <w:sz w:val="20"/>
          <w:szCs w:val="20"/>
        </w:rPr>
        <w:t>28</w:t>
      </w:r>
      <w:r w:rsidRPr="00F81D66">
        <w:rPr>
          <w:sz w:val="20"/>
          <w:szCs w:val="20"/>
        </w:rPr>
        <w:t>, 463 (1977).</w:t>
      </w:r>
    </w:p>
    <w:p w:rsidR="00F81D66" w:rsidRDefault="00F81D66" w:rsidP="00F81D66">
      <w:pPr>
        <w:rPr>
          <w:sz w:val="20"/>
          <w:szCs w:val="20"/>
        </w:rPr>
      </w:pPr>
      <w:r>
        <w:rPr>
          <w:sz w:val="20"/>
          <w:szCs w:val="20"/>
        </w:rPr>
        <w:t xml:space="preserve">9. </w:t>
      </w:r>
      <w:r w:rsidRPr="00F81D66">
        <w:rPr>
          <w:sz w:val="20"/>
          <w:szCs w:val="20"/>
        </w:rPr>
        <w:t xml:space="preserve">M. </w:t>
      </w:r>
      <w:proofErr w:type="spellStart"/>
      <w:r w:rsidRPr="00F81D66">
        <w:rPr>
          <w:sz w:val="20"/>
          <w:szCs w:val="20"/>
        </w:rPr>
        <w:t>Mamtimin</w:t>
      </w:r>
      <w:proofErr w:type="spellEnd"/>
      <w:r w:rsidRPr="00F81D66">
        <w:rPr>
          <w:sz w:val="20"/>
          <w:szCs w:val="20"/>
        </w:rPr>
        <w:t xml:space="preserve">, F. Harmon, V.N. </w:t>
      </w:r>
      <w:proofErr w:type="spellStart"/>
      <w:r w:rsidRPr="00F81D66">
        <w:rPr>
          <w:sz w:val="20"/>
          <w:szCs w:val="20"/>
        </w:rPr>
        <w:t>Starovoitova</w:t>
      </w:r>
      <w:proofErr w:type="spellEnd"/>
      <w:r w:rsidRPr="00F81D66">
        <w:rPr>
          <w:sz w:val="20"/>
          <w:szCs w:val="20"/>
        </w:rPr>
        <w:t xml:space="preserve">, Applied Radiation and Isotopes </w:t>
      </w:r>
      <w:r w:rsidRPr="00F81D66">
        <w:rPr>
          <w:b/>
          <w:bCs/>
          <w:sz w:val="20"/>
          <w:szCs w:val="20"/>
        </w:rPr>
        <w:t>102</w:t>
      </w:r>
      <w:r w:rsidRPr="00F81D66">
        <w:rPr>
          <w:sz w:val="20"/>
          <w:szCs w:val="20"/>
        </w:rPr>
        <w:t>, 1 (2015).</w:t>
      </w:r>
    </w:p>
    <w:p w:rsidR="00343632" w:rsidRPr="00343632" w:rsidRDefault="00343632" w:rsidP="00343632">
      <w:pPr>
        <w:rPr>
          <w:sz w:val="20"/>
          <w:szCs w:val="20"/>
        </w:rPr>
      </w:pPr>
      <w:r>
        <w:rPr>
          <w:sz w:val="20"/>
          <w:szCs w:val="20"/>
        </w:rPr>
        <w:t xml:space="preserve">10. </w:t>
      </w:r>
      <w:r w:rsidRPr="00343632">
        <w:rPr>
          <w:sz w:val="20"/>
          <w:szCs w:val="20"/>
        </w:rPr>
        <w:t xml:space="preserve">O.B. Tarasov, D. </w:t>
      </w:r>
      <w:proofErr w:type="spellStart"/>
      <w:r w:rsidRPr="00343632">
        <w:rPr>
          <w:sz w:val="20"/>
          <w:szCs w:val="20"/>
        </w:rPr>
        <w:t>Bazin</w:t>
      </w:r>
      <w:proofErr w:type="spellEnd"/>
      <w:r w:rsidRPr="00343632">
        <w:rPr>
          <w:sz w:val="20"/>
          <w:szCs w:val="20"/>
        </w:rPr>
        <w:t xml:space="preserve">, Nuclear Instruments and Methods in Physics Research B </w:t>
      </w:r>
      <w:r w:rsidRPr="00343632">
        <w:rPr>
          <w:b/>
          <w:bCs/>
          <w:sz w:val="20"/>
          <w:szCs w:val="20"/>
        </w:rPr>
        <w:t>266</w:t>
      </w:r>
      <w:r w:rsidRPr="00343632">
        <w:rPr>
          <w:sz w:val="20"/>
          <w:szCs w:val="20"/>
        </w:rPr>
        <w:t>, 4657 (2008).</w:t>
      </w:r>
    </w:p>
    <w:p w:rsidR="00343632" w:rsidRDefault="00343632" w:rsidP="00343632">
      <w:pPr>
        <w:rPr>
          <w:sz w:val="20"/>
          <w:szCs w:val="20"/>
        </w:rPr>
      </w:pPr>
      <w:r>
        <w:rPr>
          <w:sz w:val="20"/>
          <w:szCs w:val="20"/>
        </w:rPr>
        <w:t xml:space="preserve">11. </w:t>
      </w:r>
      <w:r w:rsidRPr="00343632">
        <w:rPr>
          <w:sz w:val="20"/>
          <w:szCs w:val="20"/>
        </w:rPr>
        <w:t xml:space="preserve">A. </w:t>
      </w:r>
      <w:proofErr w:type="spellStart"/>
      <w:r w:rsidRPr="00343632">
        <w:rPr>
          <w:sz w:val="20"/>
          <w:szCs w:val="20"/>
        </w:rPr>
        <w:t>Gavron</w:t>
      </w:r>
      <w:proofErr w:type="spellEnd"/>
      <w:r w:rsidRPr="00343632">
        <w:rPr>
          <w:sz w:val="20"/>
          <w:szCs w:val="20"/>
        </w:rPr>
        <w:t xml:space="preserve">, Physics Review C </w:t>
      </w:r>
      <w:r w:rsidRPr="00343632">
        <w:rPr>
          <w:b/>
          <w:bCs/>
          <w:sz w:val="20"/>
          <w:szCs w:val="20"/>
        </w:rPr>
        <w:t>21</w:t>
      </w:r>
      <w:r w:rsidRPr="00343632">
        <w:rPr>
          <w:sz w:val="20"/>
          <w:szCs w:val="20"/>
        </w:rPr>
        <w:t>, 230 (1980).</w:t>
      </w:r>
    </w:p>
    <w:p w:rsidR="00440F9D" w:rsidRPr="00440F9D" w:rsidRDefault="00440F9D" w:rsidP="00343632">
      <w:pPr>
        <w:rPr>
          <w:sz w:val="20"/>
          <w:szCs w:val="20"/>
        </w:rPr>
      </w:pPr>
      <w:r>
        <w:rPr>
          <w:sz w:val="20"/>
          <w:szCs w:val="20"/>
        </w:rPr>
        <w:t xml:space="preserve">12. </w:t>
      </w:r>
      <w:r w:rsidRPr="00440F9D">
        <w:rPr>
          <w:sz w:val="20"/>
          <w:szCs w:val="20"/>
        </w:rPr>
        <w:t xml:space="preserve">O.B. Tarasov, D. </w:t>
      </w:r>
      <w:proofErr w:type="spellStart"/>
      <w:r w:rsidRPr="00440F9D">
        <w:rPr>
          <w:sz w:val="20"/>
          <w:szCs w:val="20"/>
        </w:rPr>
        <w:t>Bazin</w:t>
      </w:r>
      <w:proofErr w:type="spellEnd"/>
      <w:r>
        <w:rPr>
          <w:sz w:val="20"/>
          <w:szCs w:val="20"/>
        </w:rPr>
        <w:t>.</w:t>
      </w:r>
      <w:r w:rsidRPr="00440F9D">
        <w:rPr>
          <w:sz w:val="20"/>
          <w:szCs w:val="20"/>
        </w:rPr>
        <w:t xml:space="preserve"> </w:t>
      </w:r>
      <w:r>
        <w:rPr>
          <w:sz w:val="20"/>
          <w:szCs w:val="20"/>
        </w:rPr>
        <w:t xml:space="preserve">Nuclear Instruments and Methods in Physics Research B </w:t>
      </w:r>
      <w:r>
        <w:rPr>
          <w:b/>
          <w:sz w:val="20"/>
          <w:szCs w:val="20"/>
        </w:rPr>
        <w:t>204</w:t>
      </w:r>
      <w:r>
        <w:rPr>
          <w:sz w:val="20"/>
          <w:szCs w:val="20"/>
        </w:rPr>
        <w:t>, 174 (2003).</w:t>
      </w:r>
    </w:p>
    <w:p w:rsidR="00652823" w:rsidRDefault="005F271D" w:rsidP="00652823">
      <w:pPr>
        <w:rPr>
          <w:sz w:val="20"/>
          <w:szCs w:val="20"/>
        </w:rPr>
      </w:pPr>
      <w:r>
        <w:rPr>
          <w:sz w:val="20"/>
          <w:szCs w:val="20"/>
        </w:rPr>
        <w:t xml:space="preserve">13. </w:t>
      </w:r>
      <w:r w:rsidRPr="005F271D">
        <w:rPr>
          <w:sz w:val="20"/>
          <w:szCs w:val="20"/>
        </w:rPr>
        <w:t>T. W. Burrows</w:t>
      </w:r>
      <w:r>
        <w:rPr>
          <w:sz w:val="20"/>
          <w:szCs w:val="20"/>
        </w:rPr>
        <w:t xml:space="preserve">, </w:t>
      </w:r>
      <w:r w:rsidRPr="005F271D">
        <w:rPr>
          <w:sz w:val="20"/>
          <w:szCs w:val="20"/>
        </w:rPr>
        <w:t xml:space="preserve">Nuclear Data Sheets </w:t>
      </w:r>
      <w:r w:rsidRPr="005F271D">
        <w:rPr>
          <w:b/>
          <w:sz w:val="20"/>
          <w:szCs w:val="20"/>
        </w:rPr>
        <w:t>108</w:t>
      </w:r>
      <w:r w:rsidRPr="005F271D">
        <w:rPr>
          <w:sz w:val="20"/>
          <w:szCs w:val="20"/>
        </w:rPr>
        <w:t>, 923 (2007)</w:t>
      </w:r>
      <w:r>
        <w:rPr>
          <w:sz w:val="20"/>
          <w:szCs w:val="20"/>
        </w:rPr>
        <w:t>.</w:t>
      </w:r>
    </w:p>
    <w:p w:rsidR="00085814" w:rsidRDefault="00085814" w:rsidP="00652823">
      <w:pPr>
        <w:rPr>
          <w:sz w:val="20"/>
          <w:szCs w:val="20"/>
        </w:rPr>
      </w:pPr>
    </w:p>
    <w:p w:rsidR="00085814" w:rsidRPr="00085814" w:rsidRDefault="00085814" w:rsidP="00652823">
      <w:pPr>
        <w:rPr>
          <w:b/>
          <w:sz w:val="20"/>
          <w:szCs w:val="20"/>
        </w:rPr>
      </w:pPr>
      <w:r>
        <w:rPr>
          <w:b/>
          <w:sz w:val="20"/>
          <w:szCs w:val="20"/>
        </w:rPr>
        <w:t>Acknowledgements</w:t>
      </w:r>
    </w:p>
    <w:p w:rsidR="00652823" w:rsidRPr="00652823" w:rsidRDefault="00A651CC" w:rsidP="00652823">
      <w:r>
        <w:t xml:space="preserve">We would like to thank Mathias Steiner, Frederique </w:t>
      </w:r>
      <w:proofErr w:type="spellStart"/>
      <w:r>
        <w:t>Pellemoine</w:t>
      </w:r>
      <w:proofErr w:type="spellEnd"/>
      <w:r>
        <w:t xml:space="preserve">, Nicolas </w:t>
      </w:r>
      <w:proofErr w:type="spellStart"/>
      <w:r>
        <w:t>Dronchi</w:t>
      </w:r>
      <w:proofErr w:type="spellEnd"/>
      <w:r>
        <w:t xml:space="preserve">, Jason Hart, and Marina Llewellyn for their help with this work. </w:t>
      </w:r>
      <w:r>
        <w:t>This research was supported by</w:t>
      </w:r>
      <w:r>
        <w:t xml:space="preserve"> the DOE NNSA SSGF Program</w:t>
      </w:r>
      <w:r>
        <w:t>; Michigan State University; and the National Superconducting Cyclotron Laboratory NSF-1565546.</w:t>
      </w:r>
    </w:p>
    <w:sectPr w:rsidR="00652823" w:rsidRPr="006528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ADB" w:rsidRDefault="00F45ADB" w:rsidP="00085814">
      <w:pPr>
        <w:spacing w:after="0" w:line="240" w:lineRule="auto"/>
      </w:pPr>
      <w:r>
        <w:separator/>
      </w:r>
    </w:p>
  </w:endnote>
  <w:endnote w:type="continuationSeparator" w:id="0">
    <w:p w:rsidR="00F45ADB" w:rsidRDefault="00F45ADB" w:rsidP="0008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814" w:rsidRPr="00085814" w:rsidRDefault="00085814">
    <w:pPr>
      <w:pStyle w:val="Footer"/>
      <w:rPr>
        <w:sz w:val="18"/>
        <w:szCs w:val="18"/>
      </w:rPr>
    </w:pPr>
    <w:r>
      <w:rPr>
        <w:sz w:val="18"/>
        <w:szCs w:val="18"/>
        <w:vertAlign w:val="superscript"/>
      </w:rPr>
      <w:t>1</w:t>
    </w:r>
    <w:r w:rsidRPr="00085814">
      <w:rPr>
        <w:sz w:val="18"/>
        <w:szCs w:val="18"/>
      </w:rPr>
      <w:t>Emily Paige Abel, abelp@nscl.msu.edu</w:t>
    </w:r>
  </w:p>
  <w:p w:rsidR="00085814" w:rsidRDefault="000858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ADB" w:rsidRDefault="00F45ADB" w:rsidP="00085814">
      <w:pPr>
        <w:spacing w:after="0" w:line="240" w:lineRule="auto"/>
      </w:pPr>
      <w:r>
        <w:separator/>
      </w:r>
    </w:p>
  </w:footnote>
  <w:footnote w:type="continuationSeparator" w:id="0">
    <w:p w:rsidR="00F45ADB" w:rsidRDefault="00F45ADB" w:rsidP="0008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DED"/>
    <w:multiLevelType w:val="hybridMultilevel"/>
    <w:tmpl w:val="6F687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E7B58"/>
    <w:multiLevelType w:val="hybridMultilevel"/>
    <w:tmpl w:val="4E6C0A74"/>
    <w:lvl w:ilvl="0" w:tplc="63F05F62">
      <w:start w:val="1"/>
      <w:numFmt w:val="bullet"/>
      <w:lvlText w:val=""/>
      <w:lvlJc w:val="left"/>
      <w:pPr>
        <w:tabs>
          <w:tab w:val="num" w:pos="720"/>
        </w:tabs>
        <w:ind w:left="720" w:hanging="360"/>
      </w:pPr>
      <w:rPr>
        <w:rFonts w:ascii="Wingdings" w:hAnsi="Wingdings" w:hint="default"/>
      </w:rPr>
    </w:lvl>
    <w:lvl w:ilvl="1" w:tplc="90B4E206" w:tentative="1">
      <w:start w:val="1"/>
      <w:numFmt w:val="bullet"/>
      <w:lvlText w:val=""/>
      <w:lvlJc w:val="left"/>
      <w:pPr>
        <w:tabs>
          <w:tab w:val="num" w:pos="1440"/>
        </w:tabs>
        <w:ind w:left="1440" w:hanging="360"/>
      </w:pPr>
      <w:rPr>
        <w:rFonts w:ascii="Wingdings" w:hAnsi="Wingdings" w:hint="default"/>
      </w:rPr>
    </w:lvl>
    <w:lvl w:ilvl="2" w:tplc="7D44F728" w:tentative="1">
      <w:start w:val="1"/>
      <w:numFmt w:val="bullet"/>
      <w:lvlText w:val=""/>
      <w:lvlJc w:val="left"/>
      <w:pPr>
        <w:tabs>
          <w:tab w:val="num" w:pos="2160"/>
        </w:tabs>
        <w:ind w:left="2160" w:hanging="360"/>
      </w:pPr>
      <w:rPr>
        <w:rFonts w:ascii="Wingdings" w:hAnsi="Wingdings" w:hint="default"/>
      </w:rPr>
    </w:lvl>
    <w:lvl w:ilvl="3" w:tplc="72BE7EC6" w:tentative="1">
      <w:start w:val="1"/>
      <w:numFmt w:val="bullet"/>
      <w:lvlText w:val=""/>
      <w:lvlJc w:val="left"/>
      <w:pPr>
        <w:tabs>
          <w:tab w:val="num" w:pos="2880"/>
        </w:tabs>
        <w:ind w:left="2880" w:hanging="360"/>
      </w:pPr>
      <w:rPr>
        <w:rFonts w:ascii="Wingdings" w:hAnsi="Wingdings" w:hint="default"/>
      </w:rPr>
    </w:lvl>
    <w:lvl w:ilvl="4" w:tplc="E5464908" w:tentative="1">
      <w:start w:val="1"/>
      <w:numFmt w:val="bullet"/>
      <w:lvlText w:val=""/>
      <w:lvlJc w:val="left"/>
      <w:pPr>
        <w:tabs>
          <w:tab w:val="num" w:pos="3600"/>
        </w:tabs>
        <w:ind w:left="3600" w:hanging="360"/>
      </w:pPr>
      <w:rPr>
        <w:rFonts w:ascii="Wingdings" w:hAnsi="Wingdings" w:hint="default"/>
      </w:rPr>
    </w:lvl>
    <w:lvl w:ilvl="5" w:tplc="33081E8C" w:tentative="1">
      <w:start w:val="1"/>
      <w:numFmt w:val="bullet"/>
      <w:lvlText w:val=""/>
      <w:lvlJc w:val="left"/>
      <w:pPr>
        <w:tabs>
          <w:tab w:val="num" w:pos="4320"/>
        </w:tabs>
        <w:ind w:left="4320" w:hanging="360"/>
      </w:pPr>
      <w:rPr>
        <w:rFonts w:ascii="Wingdings" w:hAnsi="Wingdings" w:hint="default"/>
      </w:rPr>
    </w:lvl>
    <w:lvl w:ilvl="6" w:tplc="489E3ACE" w:tentative="1">
      <w:start w:val="1"/>
      <w:numFmt w:val="bullet"/>
      <w:lvlText w:val=""/>
      <w:lvlJc w:val="left"/>
      <w:pPr>
        <w:tabs>
          <w:tab w:val="num" w:pos="5040"/>
        </w:tabs>
        <w:ind w:left="5040" w:hanging="360"/>
      </w:pPr>
      <w:rPr>
        <w:rFonts w:ascii="Wingdings" w:hAnsi="Wingdings" w:hint="default"/>
      </w:rPr>
    </w:lvl>
    <w:lvl w:ilvl="7" w:tplc="7D0A8A14" w:tentative="1">
      <w:start w:val="1"/>
      <w:numFmt w:val="bullet"/>
      <w:lvlText w:val=""/>
      <w:lvlJc w:val="left"/>
      <w:pPr>
        <w:tabs>
          <w:tab w:val="num" w:pos="5760"/>
        </w:tabs>
        <w:ind w:left="5760" w:hanging="360"/>
      </w:pPr>
      <w:rPr>
        <w:rFonts w:ascii="Wingdings" w:hAnsi="Wingdings" w:hint="default"/>
      </w:rPr>
    </w:lvl>
    <w:lvl w:ilvl="8" w:tplc="912E3BC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55"/>
    <w:rsid w:val="000136EB"/>
    <w:rsid w:val="000752F8"/>
    <w:rsid w:val="00085814"/>
    <w:rsid w:val="000E4BCD"/>
    <w:rsid w:val="00147A4F"/>
    <w:rsid w:val="00166A19"/>
    <w:rsid w:val="002918D0"/>
    <w:rsid w:val="00327BA4"/>
    <w:rsid w:val="00343632"/>
    <w:rsid w:val="00352621"/>
    <w:rsid w:val="00374C49"/>
    <w:rsid w:val="00382F31"/>
    <w:rsid w:val="003835CF"/>
    <w:rsid w:val="00440F9D"/>
    <w:rsid w:val="00506652"/>
    <w:rsid w:val="0058018A"/>
    <w:rsid w:val="005F1DFC"/>
    <w:rsid w:val="005F271D"/>
    <w:rsid w:val="005F53A3"/>
    <w:rsid w:val="00652823"/>
    <w:rsid w:val="00714D44"/>
    <w:rsid w:val="00730DA9"/>
    <w:rsid w:val="007821CA"/>
    <w:rsid w:val="00791629"/>
    <w:rsid w:val="007B3642"/>
    <w:rsid w:val="00810B84"/>
    <w:rsid w:val="00950582"/>
    <w:rsid w:val="00A022C2"/>
    <w:rsid w:val="00A1793D"/>
    <w:rsid w:val="00A638D7"/>
    <w:rsid w:val="00A651CC"/>
    <w:rsid w:val="00A71765"/>
    <w:rsid w:val="00A82B06"/>
    <w:rsid w:val="00A96FE1"/>
    <w:rsid w:val="00B01F30"/>
    <w:rsid w:val="00B95709"/>
    <w:rsid w:val="00BB1CD6"/>
    <w:rsid w:val="00BC7FEC"/>
    <w:rsid w:val="00BE1419"/>
    <w:rsid w:val="00C0788D"/>
    <w:rsid w:val="00C13EB2"/>
    <w:rsid w:val="00C57467"/>
    <w:rsid w:val="00C65E58"/>
    <w:rsid w:val="00CE3800"/>
    <w:rsid w:val="00D64176"/>
    <w:rsid w:val="00D66B55"/>
    <w:rsid w:val="00D7734F"/>
    <w:rsid w:val="00E04077"/>
    <w:rsid w:val="00EA5F6A"/>
    <w:rsid w:val="00EA7AD2"/>
    <w:rsid w:val="00EE791F"/>
    <w:rsid w:val="00EF5C02"/>
    <w:rsid w:val="00F310C6"/>
    <w:rsid w:val="00F45ADB"/>
    <w:rsid w:val="00F523E6"/>
    <w:rsid w:val="00F8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AE14"/>
  <w15:chartTrackingRefBased/>
  <w15:docId w15:val="{E5EC6F61-4DE4-4374-A4E7-E19ED468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A19"/>
    <w:pPr>
      <w:ind w:left="720"/>
      <w:contextualSpacing/>
    </w:pPr>
  </w:style>
  <w:style w:type="paragraph" w:styleId="NormalWeb">
    <w:name w:val="Normal (Web)"/>
    <w:basedOn w:val="Normal"/>
    <w:uiPriority w:val="99"/>
    <w:semiHidden/>
    <w:unhideWhenUsed/>
    <w:rsid w:val="00BB1CD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36EB"/>
    <w:pPr>
      <w:spacing w:after="0" w:line="240" w:lineRule="auto"/>
    </w:pPr>
  </w:style>
  <w:style w:type="table" w:styleId="TableGrid">
    <w:name w:val="Table Grid"/>
    <w:basedOn w:val="TableNormal"/>
    <w:uiPriority w:val="39"/>
    <w:rsid w:val="00F5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523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8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814"/>
  </w:style>
  <w:style w:type="paragraph" w:styleId="Footer">
    <w:name w:val="footer"/>
    <w:basedOn w:val="Normal"/>
    <w:link w:val="FooterChar"/>
    <w:uiPriority w:val="99"/>
    <w:unhideWhenUsed/>
    <w:rsid w:val="0008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2368">
      <w:bodyDiv w:val="1"/>
      <w:marLeft w:val="0"/>
      <w:marRight w:val="0"/>
      <w:marTop w:val="0"/>
      <w:marBottom w:val="0"/>
      <w:divBdr>
        <w:top w:val="none" w:sz="0" w:space="0" w:color="auto"/>
        <w:left w:val="none" w:sz="0" w:space="0" w:color="auto"/>
        <w:bottom w:val="none" w:sz="0" w:space="0" w:color="auto"/>
        <w:right w:val="none" w:sz="0" w:space="0" w:color="auto"/>
      </w:divBdr>
    </w:div>
    <w:div w:id="249848526">
      <w:bodyDiv w:val="1"/>
      <w:marLeft w:val="0"/>
      <w:marRight w:val="0"/>
      <w:marTop w:val="0"/>
      <w:marBottom w:val="0"/>
      <w:divBdr>
        <w:top w:val="none" w:sz="0" w:space="0" w:color="auto"/>
        <w:left w:val="none" w:sz="0" w:space="0" w:color="auto"/>
        <w:bottom w:val="none" w:sz="0" w:space="0" w:color="auto"/>
        <w:right w:val="none" w:sz="0" w:space="0" w:color="auto"/>
      </w:divBdr>
    </w:div>
    <w:div w:id="292953377">
      <w:bodyDiv w:val="1"/>
      <w:marLeft w:val="0"/>
      <w:marRight w:val="0"/>
      <w:marTop w:val="0"/>
      <w:marBottom w:val="0"/>
      <w:divBdr>
        <w:top w:val="none" w:sz="0" w:space="0" w:color="auto"/>
        <w:left w:val="none" w:sz="0" w:space="0" w:color="auto"/>
        <w:bottom w:val="none" w:sz="0" w:space="0" w:color="auto"/>
        <w:right w:val="none" w:sz="0" w:space="0" w:color="auto"/>
      </w:divBdr>
      <w:divsChild>
        <w:div w:id="1271087605">
          <w:marLeft w:val="288"/>
          <w:marRight w:val="0"/>
          <w:marTop w:val="241"/>
          <w:marBottom w:val="0"/>
          <w:divBdr>
            <w:top w:val="none" w:sz="0" w:space="0" w:color="auto"/>
            <w:left w:val="none" w:sz="0" w:space="0" w:color="auto"/>
            <w:bottom w:val="none" w:sz="0" w:space="0" w:color="auto"/>
            <w:right w:val="none" w:sz="0" w:space="0" w:color="auto"/>
          </w:divBdr>
        </w:div>
        <w:div w:id="1213347170">
          <w:marLeft w:val="288"/>
          <w:marRight w:val="0"/>
          <w:marTop w:val="241"/>
          <w:marBottom w:val="0"/>
          <w:divBdr>
            <w:top w:val="none" w:sz="0" w:space="0" w:color="auto"/>
            <w:left w:val="none" w:sz="0" w:space="0" w:color="auto"/>
            <w:bottom w:val="none" w:sz="0" w:space="0" w:color="auto"/>
            <w:right w:val="none" w:sz="0" w:space="0" w:color="auto"/>
          </w:divBdr>
        </w:div>
      </w:divsChild>
    </w:div>
    <w:div w:id="978269403">
      <w:bodyDiv w:val="1"/>
      <w:marLeft w:val="0"/>
      <w:marRight w:val="0"/>
      <w:marTop w:val="0"/>
      <w:marBottom w:val="0"/>
      <w:divBdr>
        <w:top w:val="none" w:sz="0" w:space="0" w:color="auto"/>
        <w:left w:val="none" w:sz="0" w:space="0" w:color="auto"/>
        <w:bottom w:val="none" w:sz="0" w:space="0" w:color="auto"/>
        <w:right w:val="none" w:sz="0" w:space="0" w:color="auto"/>
      </w:divBdr>
    </w:div>
    <w:div w:id="1176846939">
      <w:bodyDiv w:val="1"/>
      <w:marLeft w:val="0"/>
      <w:marRight w:val="0"/>
      <w:marTop w:val="0"/>
      <w:marBottom w:val="0"/>
      <w:divBdr>
        <w:top w:val="none" w:sz="0" w:space="0" w:color="auto"/>
        <w:left w:val="none" w:sz="0" w:space="0" w:color="auto"/>
        <w:bottom w:val="none" w:sz="0" w:space="0" w:color="auto"/>
        <w:right w:val="none" w:sz="0" w:space="0" w:color="auto"/>
      </w:divBdr>
    </w:div>
    <w:div w:id="1347831851">
      <w:bodyDiv w:val="1"/>
      <w:marLeft w:val="0"/>
      <w:marRight w:val="0"/>
      <w:marTop w:val="0"/>
      <w:marBottom w:val="0"/>
      <w:divBdr>
        <w:top w:val="none" w:sz="0" w:space="0" w:color="auto"/>
        <w:left w:val="none" w:sz="0" w:space="0" w:color="auto"/>
        <w:bottom w:val="none" w:sz="0" w:space="0" w:color="auto"/>
        <w:right w:val="none" w:sz="0" w:space="0" w:color="auto"/>
      </w:divBdr>
    </w:div>
    <w:div w:id="1718313496">
      <w:bodyDiv w:val="1"/>
      <w:marLeft w:val="0"/>
      <w:marRight w:val="0"/>
      <w:marTop w:val="0"/>
      <w:marBottom w:val="0"/>
      <w:divBdr>
        <w:top w:val="none" w:sz="0" w:space="0" w:color="auto"/>
        <w:left w:val="none" w:sz="0" w:space="0" w:color="auto"/>
        <w:bottom w:val="none" w:sz="0" w:space="0" w:color="auto"/>
        <w:right w:val="none" w:sz="0" w:space="0" w:color="auto"/>
      </w:divBdr>
    </w:div>
    <w:div w:id="1720931534">
      <w:bodyDiv w:val="1"/>
      <w:marLeft w:val="0"/>
      <w:marRight w:val="0"/>
      <w:marTop w:val="0"/>
      <w:marBottom w:val="0"/>
      <w:divBdr>
        <w:top w:val="none" w:sz="0" w:space="0" w:color="auto"/>
        <w:left w:val="none" w:sz="0" w:space="0" w:color="auto"/>
        <w:bottom w:val="none" w:sz="0" w:space="0" w:color="auto"/>
        <w:right w:val="none" w:sz="0" w:space="0" w:color="auto"/>
      </w:divBdr>
    </w:div>
    <w:div w:id="1729957154">
      <w:bodyDiv w:val="1"/>
      <w:marLeft w:val="0"/>
      <w:marRight w:val="0"/>
      <w:marTop w:val="0"/>
      <w:marBottom w:val="0"/>
      <w:divBdr>
        <w:top w:val="none" w:sz="0" w:space="0" w:color="auto"/>
        <w:left w:val="none" w:sz="0" w:space="0" w:color="auto"/>
        <w:bottom w:val="none" w:sz="0" w:space="0" w:color="auto"/>
        <w:right w:val="none" w:sz="0" w:space="0" w:color="auto"/>
      </w:divBdr>
      <w:divsChild>
        <w:div w:id="700131295">
          <w:marLeft w:val="0"/>
          <w:marRight w:val="0"/>
          <w:marTop w:val="0"/>
          <w:marBottom w:val="0"/>
          <w:divBdr>
            <w:top w:val="none" w:sz="0" w:space="0" w:color="auto"/>
            <w:left w:val="none" w:sz="0" w:space="0" w:color="auto"/>
            <w:bottom w:val="none" w:sz="0" w:space="0" w:color="auto"/>
            <w:right w:val="none" w:sz="0" w:space="0" w:color="auto"/>
          </w:divBdr>
        </w:div>
        <w:div w:id="648050984">
          <w:marLeft w:val="0"/>
          <w:marRight w:val="0"/>
          <w:marTop w:val="0"/>
          <w:marBottom w:val="0"/>
          <w:divBdr>
            <w:top w:val="none" w:sz="0" w:space="0" w:color="auto"/>
            <w:left w:val="none" w:sz="0" w:space="0" w:color="auto"/>
            <w:bottom w:val="none" w:sz="0" w:space="0" w:color="auto"/>
            <w:right w:val="none" w:sz="0" w:space="0" w:color="auto"/>
          </w:divBdr>
        </w:div>
        <w:div w:id="636181470">
          <w:marLeft w:val="0"/>
          <w:marRight w:val="0"/>
          <w:marTop w:val="0"/>
          <w:marBottom w:val="0"/>
          <w:divBdr>
            <w:top w:val="none" w:sz="0" w:space="0" w:color="auto"/>
            <w:left w:val="none" w:sz="0" w:space="0" w:color="auto"/>
            <w:bottom w:val="none" w:sz="0" w:space="0" w:color="auto"/>
            <w:right w:val="none" w:sz="0" w:space="0" w:color="auto"/>
          </w:divBdr>
        </w:div>
        <w:div w:id="2045060981">
          <w:marLeft w:val="0"/>
          <w:marRight w:val="0"/>
          <w:marTop w:val="0"/>
          <w:marBottom w:val="0"/>
          <w:divBdr>
            <w:top w:val="none" w:sz="0" w:space="0" w:color="auto"/>
            <w:left w:val="none" w:sz="0" w:space="0" w:color="auto"/>
            <w:bottom w:val="none" w:sz="0" w:space="0" w:color="auto"/>
            <w:right w:val="none" w:sz="0" w:space="0" w:color="auto"/>
          </w:divBdr>
        </w:div>
        <w:div w:id="916550498">
          <w:marLeft w:val="0"/>
          <w:marRight w:val="0"/>
          <w:marTop w:val="0"/>
          <w:marBottom w:val="0"/>
          <w:divBdr>
            <w:top w:val="none" w:sz="0" w:space="0" w:color="auto"/>
            <w:left w:val="none" w:sz="0" w:space="0" w:color="auto"/>
            <w:bottom w:val="none" w:sz="0" w:space="0" w:color="auto"/>
            <w:right w:val="none" w:sz="0" w:space="0" w:color="auto"/>
          </w:divBdr>
        </w:div>
        <w:div w:id="567345167">
          <w:marLeft w:val="0"/>
          <w:marRight w:val="0"/>
          <w:marTop w:val="0"/>
          <w:marBottom w:val="0"/>
          <w:divBdr>
            <w:top w:val="none" w:sz="0" w:space="0" w:color="auto"/>
            <w:left w:val="none" w:sz="0" w:space="0" w:color="auto"/>
            <w:bottom w:val="none" w:sz="0" w:space="0" w:color="auto"/>
            <w:right w:val="none" w:sz="0" w:space="0" w:color="auto"/>
          </w:divBdr>
        </w:div>
        <w:div w:id="1165050316">
          <w:marLeft w:val="0"/>
          <w:marRight w:val="0"/>
          <w:marTop w:val="0"/>
          <w:marBottom w:val="0"/>
          <w:divBdr>
            <w:top w:val="none" w:sz="0" w:space="0" w:color="auto"/>
            <w:left w:val="none" w:sz="0" w:space="0" w:color="auto"/>
            <w:bottom w:val="none" w:sz="0" w:space="0" w:color="auto"/>
            <w:right w:val="none" w:sz="0" w:space="0" w:color="auto"/>
          </w:divBdr>
        </w:div>
        <w:div w:id="1139692939">
          <w:marLeft w:val="0"/>
          <w:marRight w:val="0"/>
          <w:marTop w:val="0"/>
          <w:marBottom w:val="0"/>
          <w:divBdr>
            <w:top w:val="none" w:sz="0" w:space="0" w:color="auto"/>
            <w:left w:val="none" w:sz="0" w:space="0" w:color="auto"/>
            <w:bottom w:val="none" w:sz="0" w:space="0" w:color="auto"/>
            <w:right w:val="none" w:sz="0" w:space="0" w:color="auto"/>
          </w:divBdr>
        </w:div>
        <w:div w:id="1437867932">
          <w:marLeft w:val="0"/>
          <w:marRight w:val="0"/>
          <w:marTop w:val="0"/>
          <w:marBottom w:val="0"/>
          <w:divBdr>
            <w:top w:val="none" w:sz="0" w:space="0" w:color="auto"/>
            <w:left w:val="none" w:sz="0" w:space="0" w:color="auto"/>
            <w:bottom w:val="none" w:sz="0" w:space="0" w:color="auto"/>
            <w:right w:val="none" w:sz="0" w:space="0" w:color="auto"/>
          </w:divBdr>
        </w:div>
        <w:div w:id="586962185">
          <w:marLeft w:val="0"/>
          <w:marRight w:val="0"/>
          <w:marTop w:val="0"/>
          <w:marBottom w:val="0"/>
          <w:divBdr>
            <w:top w:val="none" w:sz="0" w:space="0" w:color="auto"/>
            <w:left w:val="none" w:sz="0" w:space="0" w:color="auto"/>
            <w:bottom w:val="none" w:sz="0" w:space="0" w:color="auto"/>
            <w:right w:val="none" w:sz="0" w:space="0" w:color="auto"/>
          </w:divBdr>
        </w:div>
        <w:div w:id="1593011177">
          <w:marLeft w:val="0"/>
          <w:marRight w:val="0"/>
          <w:marTop w:val="0"/>
          <w:marBottom w:val="0"/>
          <w:divBdr>
            <w:top w:val="none" w:sz="0" w:space="0" w:color="auto"/>
            <w:left w:val="none" w:sz="0" w:space="0" w:color="auto"/>
            <w:bottom w:val="none" w:sz="0" w:space="0" w:color="auto"/>
            <w:right w:val="none" w:sz="0" w:space="0" w:color="auto"/>
          </w:divBdr>
        </w:div>
        <w:div w:id="2013528266">
          <w:marLeft w:val="0"/>
          <w:marRight w:val="0"/>
          <w:marTop w:val="0"/>
          <w:marBottom w:val="0"/>
          <w:divBdr>
            <w:top w:val="none" w:sz="0" w:space="0" w:color="auto"/>
            <w:left w:val="none" w:sz="0" w:space="0" w:color="auto"/>
            <w:bottom w:val="none" w:sz="0" w:space="0" w:color="auto"/>
            <w:right w:val="none" w:sz="0" w:space="0" w:color="auto"/>
          </w:divBdr>
        </w:div>
        <w:div w:id="1368987033">
          <w:marLeft w:val="0"/>
          <w:marRight w:val="0"/>
          <w:marTop w:val="0"/>
          <w:marBottom w:val="0"/>
          <w:divBdr>
            <w:top w:val="none" w:sz="0" w:space="0" w:color="auto"/>
            <w:left w:val="none" w:sz="0" w:space="0" w:color="auto"/>
            <w:bottom w:val="none" w:sz="0" w:space="0" w:color="auto"/>
            <w:right w:val="none" w:sz="0" w:space="0" w:color="auto"/>
          </w:divBdr>
        </w:div>
        <w:div w:id="701635829">
          <w:marLeft w:val="0"/>
          <w:marRight w:val="0"/>
          <w:marTop w:val="0"/>
          <w:marBottom w:val="0"/>
          <w:divBdr>
            <w:top w:val="none" w:sz="0" w:space="0" w:color="auto"/>
            <w:left w:val="none" w:sz="0" w:space="0" w:color="auto"/>
            <w:bottom w:val="none" w:sz="0" w:space="0" w:color="auto"/>
            <w:right w:val="none" w:sz="0" w:space="0" w:color="auto"/>
          </w:divBdr>
        </w:div>
        <w:div w:id="1627396320">
          <w:marLeft w:val="0"/>
          <w:marRight w:val="0"/>
          <w:marTop w:val="0"/>
          <w:marBottom w:val="0"/>
          <w:divBdr>
            <w:top w:val="none" w:sz="0" w:space="0" w:color="auto"/>
            <w:left w:val="none" w:sz="0" w:space="0" w:color="auto"/>
            <w:bottom w:val="none" w:sz="0" w:space="0" w:color="auto"/>
            <w:right w:val="none" w:sz="0" w:space="0" w:color="auto"/>
          </w:divBdr>
        </w:div>
        <w:div w:id="1378822975">
          <w:marLeft w:val="0"/>
          <w:marRight w:val="0"/>
          <w:marTop w:val="0"/>
          <w:marBottom w:val="0"/>
          <w:divBdr>
            <w:top w:val="none" w:sz="0" w:space="0" w:color="auto"/>
            <w:left w:val="none" w:sz="0" w:space="0" w:color="auto"/>
            <w:bottom w:val="none" w:sz="0" w:space="0" w:color="auto"/>
            <w:right w:val="none" w:sz="0" w:space="0" w:color="auto"/>
          </w:divBdr>
        </w:div>
        <w:div w:id="704982709">
          <w:marLeft w:val="0"/>
          <w:marRight w:val="0"/>
          <w:marTop w:val="0"/>
          <w:marBottom w:val="0"/>
          <w:divBdr>
            <w:top w:val="none" w:sz="0" w:space="0" w:color="auto"/>
            <w:left w:val="none" w:sz="0" w:space="0" w:color="auto"/>
            <w:bottom w:val="none" w:sz="0" w:space="0" w:color="auto"/>
            <w:right w:val="none" w:sz="0" w:space="0" w:color="auto"/>
          </w:divBdr>
        </w:div>
        <w:div w:id="1760053208">
          <w:marLeft w:val="0"/>
          <w:marRight w:val="0"/>
          <w:marTop w:val="0"/>
          <w:marBottom w:val="0"/>
          <w:divBdr>
            <w:top w:val="none" w:sz="0" w:space="0" w:color="auto"/>
            <w:left w:val="none" w:sz="0" w:space="0" w:color="auto"/>
            <w:bottom w:val="none" w:sz="0" w:space="0" w:color="auto"/>
            <w:right w:val="none" w:sz="0" w:space="0" w:color="auto"/>
          </w:divBdr>
        </w:div>
        <w:div w:id="1302462727">
          <w:marLeft w:val="0"/>
          <w:marRight w:val="0"/>
          <w:marTop w:val="0"/>
          <w:marBottom w:val="0"/>
          <w:divBdr>
            <w:top w:val="none" w:sz="0" w:space="0" w:color="auto"/>
            <w:left w:val="none" w:sz="0" w:space="0" w:color="auto"/>
            <w:bottom w:val="none" w:sz="0" w:space="0" w:color="auto"/>
            <w:right w:val="none" w:sz="0" w:space="0" w:color="auto"/>
          </w:divBdr>
        </w:div>
        <w:div w:id="1597403722">
          <w:marLeft w:val="0"/>
          <w:marRight w:val="0"/>
          <w:marTop w:val="0"/>
          <w:marBottom w:val="0"/>
          <w:divBdr>
            <w:top w:val="none" w:sz="0" w:space="0" w:color="auto"/>
            <w:left w:val="none" w:sz="0" w:space="0" w:color="auto"/>
            <w:bottom w:val="none" w:sz="0" w:space="0" w:color="auto"/>
            <w:right w:val="none" w:sz="0" w:space="0" w:color="auto"/>
          </w:divBdr>
        </w:div>
        <w:div w:id="652417868">
          <w:marLeft w:val="0"/>
          <w:marRight w:val="0"/>
          <w:marTop w:val="0"/>
          <w:marBottom w:val="0"/>
          <w:divBdr>
            <w:top w:val="none" w:sz="0" w:space="0" w:color="auto"/>
            <w:left w:val="none" w:sz="0" w:space="0" w:color="auto"/>
            <w:bottom w:val="none" w:sz="0" w:space="0" w:color="auto"/>
            <w:right w:val="none" w:sz="0" w:space="0" w:color="auto"/>
          </w:divBdr>
        </w:div>
        <w:div w:id="1375277616">
          <w:marLeft w:val="0"/>
          <w:marRight w:val="0"/>
          <w:marTop w:val="0"/>
          <w:marBottom w:val="0"/>
          <w:divBdr>
            <w:top w:val="none" w:sz="0" w:space="0" w:color="auto"/>
            <w:left w:val="none" w:sz="0" w:space="0" w:color="auto"/>
            <w:bottom w:val="none" w:sz="0" w:space="0" w:color="auto"/>
            <w:right w:val="none" w:sz="0" w:space="0" w:color="auto"/>
          </w:divBdr>
        </w:div>
        <w:div w:id="1382751702">
          <w:marLeft w:val="0"/>
          <w:marRight w:val="0"/>
          <w:marTop w:val="0"/>
          <w:marBottom w:val="0"/>
          <w:divBdr>
            <w:top w:val="none" w:sz="0" w:space="0" w:color="auto"/>
            <w:left w:val="none" w:sz="0" w:space="0" w:color="auto"/>
            <w:bottom w:val="none" w:sz="0" w:space="0" w:color="auto"/>
            <w:right w:val="none" w:sz="0" w:space="0" w:color="auto"/>
          </w:divBdr>
        </w:div>
        <w:div w:id="947079449">
          <w:marLeft w:val="0"/>
          <w:marRight w:val="0"/>
          <w:marTop w:val="0"/>
          <w:marBottom w:val="0"/>
          <w:divBdr>
            <w:top w:val="none" w:sz="0" w:space="0" w:color="auto"/>
            <w:left w:val="none" w:sz="0" w:space="0" w:color="auto"/>
            <w:bottom w:val="none" w:sz="0" w:space="0" w:color="auto"/>
            <w:right w:val="none" w:sz="0" w:space="0" w:color="auto"/>
          </w:divBdr>
        </w:div>
        <w:div w:id="1357386541">
          <w:marLeft w:val="0"/>
          <w:marRight w:val="0"/>
          <w:marTop w:val="0"/>
          <w:marBottom w:val="0"/>
          <w:divBdr>
            <w:top w:val="none" w:sz="0" w:space="0" w:color="auto"/>
            <w:left w:val="none" w:sz="0" w:space="0" w:color="auto"/>
            <w:bottom w:val="none" w:sz="0" w:space="0" w:color="auto"/>
            <w:right w:val="none" w:sz="0" w:space="0" w:color="auto"/>
          </w:divBdr>
        </w:div>
        <w:div w:id="887454785">
          <w:marLeft w:val="0"/>
          <w:marRight w:val="0"/>
          <w:marTop w:val="0"/>
          <w:marBottom w:val="0"/>
          <w:divBdr>
            <w:top w:val="none" w:sz="0" w:space="0" w:color="auto"/>
            <w:left w:val="none" w:sz="0" w:space="0" w:color="auto"/>
            <w:bottom w:val="none" w:sz="0" w:space="0" w:color="auto"/>
            <w:right w:val="none" w:sz="0" w:space="0" w:color="auto"/>
          </w:divBdr>
        </w:div>
      </w:divsChild>
    </w:div>
    <w:div w:id="2019841301">
      <w:bodyDiv w:val="1"/>
      <w:marLeft w:val="0"/>
      <w:marRight w:val="0"/>
      <w:marTop w:val="0"/>
      <w:marBottom w:val="0"/>
      <w:divBdr>
        <w:top w:val="none" w:sz="0" w:space="0" w:color="auto"/>
        <w:left w:val="none" w:sz="0" w:space="0" w:color="auto"/>
        <w:bottom w:val="none" w:sz="0" w:space="0" w:color="auto"/>
        <w:right w:val="none" w:sz="0" w:space="0" w:color="auto"/>
      </w:divBdr>
    </w:div>
    <w:div w:id="208490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4751</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Abel</dc:creator>
  <cp:keywords/>
  <dc:description/>
  <cp:lastModifiedBy>Emily Abel</cp:lastModifiedBy>
  <cp:revision>49</cp:revision>
  <dcterms:created xsi:type="dcterms:W3CDTF">2018-04-27T14:10:00Z</dcterms:created>
  <dcterms:modified xsi:type="dcterms:W3CDTF">2018-04-30T22:15:00Z</dcterms:modified>
</cp:coreProperties>
</file>