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39E" w:rsidRPr="00575FB1" w:rsidRDefault="002051B2" w:rsidP="00CE61A9">
      <w:pPr>
        <w:jc w:val="center"/>
        <w:outlineLvl w:val="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>Elect</w:t>
      </w:r>
      <w:r w:rsidR="00DE71F3">
        <w:rPr>
          <w:rFonts w:ascii="Calibri" w:hAnsi="Calibri"/>
          <w:b/>
          <w:sz w:val="24"/>
          <w:szCs w:val="24"/>
          <w:lang w:val="en-US"/>
        </w:rPr>
        <w:t>rodeposition and recovery of Sn</w:t>
      </w:r>
      <w:r>
        <w:rPr>
          <w:rFonts w:ascii="Calibri" w:hAnsi="Calibri"/>
          <w:b/>
          <w:sz w:val="24"/>
          <w:szCs w:val="24"/>
          <w:lang w:val="en-US"/>
        </w:rPr>
        <w:t xml:space="preserve"> targets for </w:t>
      </w:r>
      <w:r w:rsidRPr="002051B2">
        <w:rPr>
          <w:rFonts w:ascii="Calibri" w:hAnsi="Calibri"/>
          <w:b/>
          <w:sz w:val="24"/>
          <w:szCs w:val="24"/>
          <w:vertAlign w:val="superscript"/>
          <w:lang w:val="en-US"/>
        </w:rPr>
        <w:t>119</w:t>
      </w:r>
      <w:r>
        <w:rPr>
          <w:rFonts w:ascii="Calibri" w:hAnsi="Calibri"/>
          <w:b/>
          <w:sz w:val="24"/>
          <w:szCs w:val="24"/>
          <w:lang w:val="en-US"/>
        </w:rPr>
        <w:t>Sb production</w:t>
      </w:r>
    </w:p>
    <w:p w:rsidR="00A9239E" w:rsidRPr="00575FB1" w:rsidRDefault="002051B2" w:rsidP="00CE61A9">
      <w:pPr>
        <w:jc w:val="center"/>
        <w:outlineLvl w:val="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Aeli </w:t>
      </w:r>
      <w:r w:rsidR="004014A8">
        <w:rPr>
          <w:rFonts w:ascii="Calibri" w:hAnsi="Calibri"/>
          <w:lang w:val="en-US"/>
        </w:rPr>
        <w:t xml:space="preserve">P. </w:t>
      </w:r>
      <w:r>
        <w:rPr>
          <w:rFonts w:ascii="Calibri" w:hAnsi="Calibri"/>
          <w:lang w:val="en-US"/>
        </w:rPr>
        <w:t>Olson</w:t>
      </w:r>
      <w:r w:rsidR="00CE61A9" w:rsidRPr="00CE61A9">
        <w:rPr>
          <w:rFonts w:ascii="Calibri" w:hAnsi="Calibri"/>
          <w:vertAlign w:val="superscript"/>
          <w:lang w:val="en-US"/>
        </w:rPr>
        <w:t>a</w:t>
      </w:r>
      <w:r w:rsidR="00A9239E" w:rsidRPr="00575FB1">
        <w:rPr>
          <w:rFonts w:ascii="Calibri" w:hAnsi="Calibri"/>
          <w:lang w:val="en-US"/>
        </w:rPr>
        <w:t xml:space="preserve">, </w:t>
      </w:r>
      <w:r w:rsidR="007B4EB4">
        <w:rPr>
          <w:rFonts w:ascii="Calibri" w:hAnsi="Calibri"/>
          <w:lang w:val="en-US"/>
        </w:rPr>
        <w:t xml:space="preserve">Paul </w:t>
      </w:r>
      <w:r w:rsidR="00FC43E4">
        <w:rPr>
          <w:rFonts w:ascii="Calibri" w:hAnsi="Calibri"/>
          <w:lang w:val="en-US"/>
        </w:rPr>
        <w:t xml:space="preserve">A. </w:t>
      </w:r>
      <w:r w:rsidR="007B4EB4">
        <w:rPr>
          <w:rFonts w:ascii="Calibri" w:hAnsi="Calibri"/>
          <w:lang w:val="en-US"/>
        </w:rPr>
        <w:t>Ellison</w:t>
      </w:r>
      <w:r w:rsidR="00CE61A9" w:rsidRPr="00CE61A9">
        <w:rPr>
          <w:rFonts w:ascii="Calibri" w:hAnsi="Calibri"/>
          <w:vertAlign w:val="superscript"/>
          <w:lang w:val="en-US"/>
        </w:rPr>
        <w:t>a</w:t>
      </w:r>
      <w:r w:rsidR="00A9239E" w:rsidRPr="00575FB1">
        <w:rPr>
          <w:rFonts w:ascii="Calibri" w:hAnsi="Calibri"/>
          <w:lang w:val="en-US"/>
        </w:rPr>
        <w:t>,</w:t>
      </w:r>
      <w:r w:rsidR="007B4EB4">
        <w:rPr>
          <w:rFonts w:ascii="Calibri" w:hAnsi="Calibri"/>
          <w:lang w:val="en-US"/>
        </w:rPr>
        <w:t xml:space="preserve"> </w:t>
      </w:r>
      <w:r w:rsidR="00F3475A">
        <w:rPr>
          <w:rFonts w:ascii="Calibri" w:hAnsi="Calibri"/>
          <w:lang w:val="en-US"/>
        </w:rPr>
        <w:t>Valery Radchenko</w:t>
      </w:r>
      <w:r w:rsidR="00CE61A9" w:rsidRPr="00CE61A9">
        <w:rPr>
          <w:rFonts w:ascii="Calibri" w:hAnsi="Calibri"/>
          <w:vertAlign w:val="superscript"/>
          <w:lang w:val="en-US"/>
        </w:rPr>
        <w:t>b</w:t>
      </w:r>
      <w:r w:rsidR="00F3475A">
        <w:rPr>
          <w:rFonts w:ascii="Calibri" w:hAnsi="Calibri"/>
          <w:lang w:val="en-US"/>
        </w:rPr>
        <w:t xml:space="preserve">, </w:t>
      </w:r>
      <w:r w:rsidR="007B4EB4">
        <w:rPr>
          <w:rFonts w:ascii="Calibri" w:hAnsi="Calibri"/>
          <w:lang w:val="en-US"/>
        </w:rPr>
        <w:t xml:space="preserve">Todd </w:t>
      </w:r>
      <w:r w:rsidR="00FC43E4">
        <w:rPr>
          <w:rFonts w:ascii="Calibri" w:hAnsi="Calibri"/>
          <w:lang w:val="en-US"/>
        </w:rPr>
        <w:t xml:space="preserve">E. </w:t>
      </w:r>
      <w:r w:rsidR="007B4EB4">
        <w:rPr>
          <w:rFonts w:ascii="Calibri" w:hAnsi="Calibri"/>
          <w:lang w:val="en-US"/>
        </w:rPr>
        <w:t>Barnhart,</w:t>
      </w:r>
      <w:r w:rsidR="00A9239E" w:rsidRPr="00575FB1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 xml:space="preserve">Jonathan </w:t>
      </w:r>
      <w:r w:rsidR="00FC43E4">
        <w:rPr>
          <w:rFonts w:ascii="Calibri" w:hAnsi="Calibri"/>
          <w:lang w:val="en-US"/>
        </w:rPr>
        <w:t xml:space="preserve">W. </w:t>
      </w:r>
      <w:r>
        <w:rPr>
          <w:rFonts w:ascii="Calibri" w:hAnsi="Calibri"/>
          <w:lang w:val="en-US"/>
        </w:rPr>
        <w:t>Engle</w:t>
      </w:r>
      <w:r w:rsidR="00C4641C">
        <w:rPr>
          <w:rFonts w:ascii="Calibri" w:hAnsi="Calibri"/>
          <w:vertAlign w:val="superscript"/>
          <w:lang w:val="en-US"/>
        </w:rPr>
        <w:t>1</w:t>
      </w:r>
    </w:p>
    <w:p w:rsidR="00A9239E" w:rsidRPr="00575FB1" w:rsidRDefault="00A9239E" w:rsidP="00A9239E">
      <w:pPr>
        <w:jc w:val="center"/>
        <w:rPr>
          <w:rFonts w:ascii="Calibri" w:hAnsi="Calibri"/>
          <w:b/>
          <w:lang w:val="en-US"/>
        </w:rPr>
      </w:pPr>
    </w:p>
    <w:p w:rsidR="000C5014" w:rsidRPr="00C830AF" w:rsidRDefault="00C830AF" w:rsidP="00C830AF">
      <w:pPr>
        <w:jc w:val="center"/>
        <w:rPr>
          <w:rFonts w:ascii="Calibri" w:hAnsi="Calibri"/>
          <w:sz w:val="18"/>
          <w:szCs w:val="18"/>
          <w:lang w:val="en-US"/>
        </w:rPr>
      </w:pPr>
      <w:r w:rsidRPr="00C830AF">
        <w:rPr>
          <w:rFonts w:ascii="Calibri" w:hAnsi="Calibri"/>
          <w:sz w:val="18"/>
          <w:szCs w:val="18"/>
          <w:vertAlign w:val="superscript"/>
          <w:lang w:val="en-US"/>
        </w:rPr>
        <w:t>a</w:t>
      </w:r>
      <w:r w:rsidR="002051B2">
        <w:rPr>
          <w:rFonts w:ascii="Calibri" w:hAnsi="Calibri"/>
          <w:sz w:val="18"/>
          <w:szCs w:val="18"/>
          <w:lang w:val="en-US"/>
        </w:rPr>
        <w:t>Department of Medical Physics, University of Wisconsin, Madison, B1137 WIMR, 1111 Highland Avenue, Madison, WI 53705, USA</w:t>
      </w:r>
    </w:p>
    <w:p w:rsidR="000C5014" w:rsidRDefault="00C830AF" w:rsidP="000B7F85">
      <w:pPr>
        <w:jc w:val="center"/>
        <w:rPr>
          <w:rFonts w:ascii="Calibri" w:hAnsi="Calibri"/>
          <w:sz w:val="18"/>
          <w:szCs w:val="18"/>
          <w:lang w:val="en-US"/>
        </w:rPr>
      </w:pPr>
      <w:r>
        <w:rPr>
          <w:rFonts w:ascii="Calibri" w:hAnsi="Calibri"/>
          <w:sz w:val="18"/>
          <w:szCs w:val="18"/>
          <w:vertAlign w:val="superscript"/>
          <w:lang w:val="en-US"/>
        </w:rPr>
        <w:t>b</w:t>
      </w:r>
      <w:r>
        <w:rPr>
          <w:rFonts w:ascii="Calibri" w:hAnsi="Calibri"/>
          <w:sz w:val="18"/>
          <w:szCs w:val="18"/>
          <w:lang w:val="en-US"/>
        </w:rPr>
        <w:t>Life Sciences Division, TRIUMF, 4004 Wesbrook Mall, Vancouver BC, V6T 243, Canada</w:t>
      </w:r>
    </w:p>
    <w:p w:rsidR="001A0164" w:rsidRDefault="001A0164" w:rsidP="000B7F85">
      <w:pPr>
        <w:jc w:val="center"/>
        <w:rPr>
          <w:rFonts w:ascii="Calibri" w:hAnsi="Calibri"/>
          <w:sz w:val="18"/>
          <w:szCs w:val="18"/>
          <w:lang w:val="en-US"/>
        </w:rPr>
      </w:pPr>
    </w:p>
    <w:p w:rsidR="001A0164" w:rsidRPr="00575FB1" w:rsidRDefault="001A0164" w:rsidP="000B7F85">
      <w:pPr>
        <w:jc w:val="center"/>
        <w:rPr>
          <w:rFonts w:ascii="Calibri" w:hAnsi="Calibri"/>
          <w:sz w:val="18"/>
          <w:szCs w:val="18"/>
        </w:rPr>
        <w:sectPr w:rsidR="001A0164" w:rsidRPr="00575FB1" w:rsidSect="000C5014">
          <w:footerReference w:type="default" r:id="rId7"/>
          <w:type w:val="continuous"/>
          <w:pgSz w:w="11906" w:h="16838" w:code="9"/>
          <w:pgMar w:top="1440" w:right="1440" w:bottom="1440" w:left="1800" w:header="709" w:footer="1020" w:gutter="0"/>
          <w:cols w:space="708"/>
          <w:docGrid w:linePitch="360"/>
        </w:sectPr>
      </w:pPr>
    </w:p>
    <w:p w:rsidR="00A9239E" w:rsidRPr="00575FB1" w:rsidRDefault="00A9239E" w:rsidP="00CE61A9">
      <w:pPr>
        <w:jc w:val="both"/>
        <w:outlineLvl w:val="0"/>
        <w:rPr>
          <w:rFonts w:ascii="Calibri" w:hAnsi="Calibri"/>
          <w:b/>
          <w:sz w:val="22"/>
          <w:szCs w:val="22"/>
          <w:lang w:val="en-US"/>
        </w:rPr>
      </w:pPr>
      <w:r w:rsidRPr="00575FB1">
        <w:rPr>
          <w:rFonts w:ascii="Calibri" w:hAnsi="Calibri"/>
          <w:b/>
          <w:lang w:val="en-US"/>
        </w:rPr>
        <w:t>Introduction</w:t>
      </w:r>
    </w:p>
    <w:p w:rsidR="00A9239E" w:rsidRPr="00575FB1" w:rsidRDefault="002051B2" w:rsidP="00273DA0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Antimony-119 </w:t>
      </w:r>
      <w:r w:rsidR="00B32A72">
        <w:rPr>
          <w:rFonts w:ascii="Calibri" w:hAnsi="Calibri"/>
          <w:lang w:val="en-US"/>
        </w:rPr>
        <w:t>(</w:t>
      </w:r>
      <w:r w:rsidR="00260E1D">
        <w:rPr>
          <w:rFonts w:ascii="Calibri" w:hAnsi="Calibri"/>
          <w:lang w:val="en-US"/>
        </w:rPr>
        <w:t xml:space="preserve">38.19 h, 100% </w:t>
      </w:r>
      <w:r w:rsidR="00B32A72">
        <w:rPr>
          <w:rFonts w:ascii="Calibri" w:hAnsi="Calibri"/>
          <w:lang w:val="en-US"/>
        </w:rPr>
        <w:sym w:font="Symbol" w:char="F065"/>
      </w:r>
      <w:r w:rsidR="00260E1D">
        <w:rPr>
          <w:rFonts w:ascii="Calibri" w:hAnsi="Calibri"/>
          <w:lang w:val="en-US"/>
        </w:rPr>
        <w:t xml:space="preserve"> decay</w:t>
      </w:r>
      <w:r w:rsidR="00B32A72">
        <w:rPr>
          <w:rFonts w:ascii="Calibri" w:hAnsi="Calibri"/>
          <w:lang w:val="en-US"/>
        </w:rPr>
        <w:t>)</w:t>
      </w:r>
      <w:r w:rsidR="001402DF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 xml:space="preserve">holds promise in targeted radionuclide therapy because of </w:t>
      </w:r>
      <w:r w:rsidR="00F3475A">
        <w:rPr>
          <w:rFonts w:ascii="Calibri" w:hAnsi="Calibri"/>
          <w:lang w:val="en-US"/>
        </w:rPr>
        <w:t xml:space="preserve">its </w:t>
      </w:r>
      <w:r w:rsidR="00C232CB">
        <w:rPr>
          <w:rFonts w:ascii="Calibri" w:hAnsi="Calibri"/>
          <w:lang w:val="en-US"/>
        </w:rPr>
        <w:t>unique A</w:t>
      </w:r>
      <w:bookmarkStart w:id="0" w:name="_GoBack"/>
      <w:bookmarkEnd w:id="0"/>
      <w:r>
        <w:rPr>
          <w:rFonts w:ascii="Calibri" w:hAnsi="Calibri"/>
          <w:lang w:val="en-US"/>
        </w:rPr>
        <w:t>uger electron energy spectrum</w:t>
      </w:r>
      <w:r w:rsidR="007B3DC2">
        <w:rPr>
          <w:rFonts w:ascii="Calibri" w:hAnsi="Calibri"/>
          <w:lang w:val="en-US"/>
        </w:rPr>
        <w:t xml:space="preserve"> and </w:t>
      </w:r>
      <w:r w:rsidR="00F3475A">
        <w:rPr>
          <w:rFonts w:ascii="Calibri" w:hAnsi="Calibri"/>
          <w:lang w:val="en-US"/>
        </w:rPr>
        <w:t>potential for</w:t>
      </w:r>
      <w:r w:rsidR="007B3DC2">
        <w:rPr>
          <w:rFonts w:ascii="Calibri" w:hAnsi="Calibri"/>
          <w:lang w:val="en-US"/>
        </w:rPr>
        <w:t xml:space="preserve"> production </w:t>
      </w:r>
      <w:r w:rsidR="00F3475A">
        <w:rPr>
          <w:rFonts w:ascii="Calibri" w:hAnsi="Calibri"/>
          <w:lang w:val="en-US"/>
        </w:rPr>
        <w:t>on</w:t>
      </w:r>
      <w:r w:rsidR="007B3DC2">
        <w:rPr>
          <w:rFonts w:ascii="Calibri" w:hAnsi="Calibri"/>
          <w:lang w:val="en-US"/>
        </w:rPr>
        <w:t xml:space="preserve"> small medical cyclotron</w:t>
      </w:r>
      <w:r w:rsidR="00F3475A">
        <w:rPr>
          <w:rFonts w:ascii="Calibri" w:hAnsi="Calibri"/>
          <w:lang w:val="en-US"/>
        </w:rPr>
        <w:t>s</w:t>
      </w:r>
      <w:r w:rsidR="001A0164">
        <w:rPr>
          <w:rFonts w:ascii="Calibri" w:hAnsi="Calibri"/>
          <w:lang w:val="en-US"/>
        </w:rPr>
        <w:t xml:space="preserve"> </w:t>
      </w:r>
      <w:r w:rsidR="00E500E1">
        <w:rPr>
          <w:rFonts w:ascii="Calibri" w:hAnsi="Calibri"/>
          <w:lang w:val="en-US"/>
        </w:rPr>
        <w:t>[</w:t>
      </w:r>
      <w:r w:rsidR="00CE61A9">
        <w:rPr>
          <w:rFonts w:ascii="Calibri" w:hAnsi="Calibri"/>
          <w:lang w:val="en-US"/>
        </w:rPr>
        <w:t>1</w:t>
      </w:r>
      <w:r w:rsidR="00E500E1">
        <w:rPr>
          <w:rFonts w:ascii="Calibri" w:hAnsi="Calibri"/>
          <w:lang w:val="en-US"/>
        </w:rPr>
        <w:t>]</w:t>
      </w:r>
      <w:r>
        <w:rPr>
          <w:rFonts w:ascii="Calibri" w:hAnsi="Calibri"/>
          <w:lang w:val="en-US"/>
        </w:rPr>
        <w:t>. Production, however, is hindered by the relatively low natural isotopic abundance</w:t>
      </w:r>
      <w:r w:rsidR="007B3DC2">
        <w:rPr>
          <w:rFonts w:ascii="Calibri" w:hAnsi="Calibri"/>
          <w:lang w:val="en-US"/>
        </w:rPr>
        <w:t xml:space="preserve"> of </w:t>
      </w:r>
      <w:r w:rsidR="007B3DC2" w:rsidRPr="007B3DC2">
        <w:rPr>
          <w:rFonts w:ascii="Calibri" w:hAnsi="Calibri"/>
          <w:vertAlign w:val="superscript"/>
          <w:lang w:val="en-US"/>
        </w:rPr>
        <w:t>119</w:t>
      </w:r>
      <w:r w:rsidR="007B3DC2">
        <w:rPr>
          <w:rFonts w:ascii="Calibri" w:hAnsi="Calibri"/>
          <w:lang w:val="en-US"/>
        </w:rPr>
        <w:t>Sn</w:t>
      </w:r>
      <w:r>
        <w:rPr>
          <w:rFonts w:ascii="Calibri" w:hAnsi="Calibri"/>
          <w:lang w:val="en-US"/>
        </w:rPr>
        <w:t xml:space="preserve">. </w:t>
      </w:r>
      <w:r w:rsidR="00C14688">
        <w:rPr>
          <w:rFonts w:ascii="Calibri" w:hAnsi="Calibri"/>
          <w:lang w:val="en-US"/>
        </w:rPr>
        <w:t>To</w:t>
      </w:r>
      <w:r w:rsidR="00494ACA">
        <w:rPr>
          <w:rFonts w:ascii="Calibri" w:hAnsi="Calibri"/>
          <w:lang w:val="en-US"/>
        </w:rPr>
        <w:t xml:space="preserve"> apply </w:t>
      </w:r>
      <w:r w:rsidR="00494ACA" w:rsidRPr="00494ACA">
        <w:rPr>
          <w:rFonts w:ascii="Calibri" w:hAnsi="Calibri"/>
          <w:vertAlign w:val="superscript"/>
          <w:lang w:val="en-US"/>
        </w:rPr>
        <w:t>119</w:t>
      </w:r>
      <w:r w:rsidR="00494ACA">
        <w:rPr>
          <w:rFonts w:ascii="Calibri" w:hAnsi="Calibri"/>
          <w:lang w:val="en-US"/>
        </w:rPr>
        <w:t xml:space="preserve">Sb in </w:t>
      </w:r>
      <w:r w:rsidR="00C14688">
        <w:rPr>
          <w:rFonts w:ascii="Calibri" w:hAnsi="Calibri"/>
          <w:lang w:val="en-US"/>
        </w:rPr>
        <w:t>preclinical experiments, GBq quantity and high radioisotopic purity needs are anticipated</w:t>
      </w:r>
      <w:r w:rsidR="00494ACA">
        <w:rPr>
          <w:rFonts w:ascii="Calibri" w:hAnsi="Calibri"/>
          <w:lang w:val="en-US"/>
        </w:rPr>
        <w:t xml:space="preserve">. </w:t>
      </w:r>
      <w:r>
        <w:rPr>
          <w:rFonts w:ascii="Calibri" w:hAnsi="Calibri"/>
          <w:lang w:val="en-US"/>
        </w:rPr>
        <w:t>The u</w:t>
      </w:r>
      <w:r w:rsidR="00494ACA">
        <w:rPr>
          <w:rFonts w:ascii="Calibri" w:hAnsi="Calibri"/>
          <w:lang w:val="en-US"/>
        </w:rPr>
        <w:t>se of natural</w:t>
      </w:r>
      <w:r w:rsidR="00C14688">
        <w:rPr>
          <w:rFonts w:ascii="Calibri" w:hAnsi="Calibri"/>
          <w:lang w:val="en-US"/>
        </w:rPr>
        <w:t xml:space="preserve"> isotopic abundance </w:t>
      </w:r>
      <w:r w:rsidR="00494ACA">
        <w:rPr>
          <w:rFonts w:ascii="Calibri" w:hAnsi="Calibri"/>
          <w:lang w:val="en-US"/>
        </w:rPr>
        <w:t>tin</w:t>
      </w:r>
      <w:r>
        <w:rPr>
          <w:rFonts w:ascii="Calibri" w:hAnsi="Calibri"/>
          <w:lang w:val="en-US"/>
        </w:rPr>
        <w:t xml:space="preserve"> target</w:t>
      </w:r>
      <w:r w:rsidR="00494ACA">
        <w:rPr>
          <w:rFonts w:ascii="Calibri" w:hAnsi="Calibri"/>
          <w:lang w:val="en-US"/>
        </w:rPr>
        <w:t xml:space="preserve">s </w:t>
      </w:r>
      <w:r>
        <w:rPr>
          <w:rFonts w:ascii="Calibri" w:hAnsi="Calibri"/>
          <w:lang w:val="en-US"/>
        </w:rPr>
        <w:t>produces significant radio</w:t>
      </w:r>
      <w:r w:rsidR="00C14688">
        <w:rPr>
          <w:rFonts w:ascii="Calibri" w:hAnsi="Calibri"/>
          <w:lang w:val="en-US"/>
        </w:rPr>
        <w:t xml:space="preserve">isotopic </w:t>
      </w:r>
      <w:r>
        <w:rPr>
          <w:rFonts w:ascii="Calibri" w:hAnsi="Calibri"/>
          <w:lang w:val="en-US"/>
        </w:rPr>
        <w:t>impurities</w:t>
      </w:r>
      <w:r w:rsidR="007D36BD">
        <w:rPr>
          <w:rFonts w:ascii="Calibri" w:hAnsi="Calibri"/>
          <w:lang w:val="en-US"/>
        </w:rPr>
        <w:t xml:space="preserve"> </w:t>
      </w:r>
      <w:r w:rsidR="00C14688">
        <w:rPr>
          <w:rFonts w:ascii="Calibri" w:hAnsi="Calibri"/>
          <w:lang w:val="en-US"/>
        </w:rPr>
        <w:t xml:space="preserve">(see </w:t>
      </w:r>
      <w:r w:rsidR="007D36BD">
        <w:rPr>
          <w:rFonts w:ascii="Calibri" w:hAnsi="Calibri"/>
          <w:lang w:val="en-US"/>
        </w:rPr>
        <w:t>Table 1</w:t>
      </w:r>
      <w:r w:rsidR="00C14688">
        <w:rPr>
          <w:rFonts w:ascii="Calibri" w:hAnsi="Calibri"/>
          <w:lang w:val="en-US"/>
        </w:rPr>
        <w:t>)</w:t>
      </w:r>
      <w:r>
        <w:rPr>
          <w:rFonts w:ascii="Calibri" w:hAnsi="Calibri"/>
          <w:lang w:val="en-US"/>
        </w:rPr>
        <w:t>.</w:t>
      </w:r>
      <w:r w:rsidR="00494ACA">
        <w:rPr>
          <w:rFonts w:ascii="Calibri" w:hAnsi="Calibri"/>
          <w:lang w:val="en-US"/>
        </w:rPr>
        <w:t xml:space="preserve"> </w:t>
      </w:r>
      <w:r w:rsidR="00C14688">
        <w:rPr>
          <w:rFonts w:ascii="Calibri" w:hAnsi="Calibri"/>
          <w:lang w:val="en-US"/>
        </w:rPr>
        <w:t xml:space="preserve">Sustainable </w:t>
      </w:r>
      <w:r w:rsidR="004140E7">
        <w:rPr>
          <w:rFonts w:ascii="Calibri" w:hAnsi="Calibri"/>
          <w:lang w:val="en-US"/>
        </w:rPr>
        <w:t>productions will</w:t>
      </w:r>
      <w:r w:rsidR="00C14688">
        <w:rPr>
          <w:rFonts w:ascii="Calibri" w:hAnsi="Calibri"/>
          <w:lang w:val="en-US"/>
        </w:rPr>
        <w:t xml:space="preserve"> require</w:t>
      </w:r>
      <w:r w:rsidR="00494ACA">
        <w:rPr>
          <w:rFonts w:ascii="Calibri" w:hAnsi="Calibri"/>
          <w:lang w:val="en-US"/>
        </w:rPr>
        <w:t xml:space="preserve"> reclamation</w:t>
      </w:r>
      <w:r w:rsidR="00C14688">
        <w:rPr>
          <w:rFonts w:ascii="Calibri" w:hAnsi="Calibri"/>
          <w:lang w:val="en-US"/>
        </w:rPr>
        <w:t xml:space="preserve"> of enriched Sn target material</w:t>
      </w:r>
      <w:r w:rsidR="00494ACA">
        <w:rPr>
          <w:rFonts w:ascii="Calibri" w:hAnsi="Calibri"/>
          <w:lang w:val="en-US"/>
        </w:rPr>
        <w:t>.</w:t>
      </w:r>
      <w:r>
        <w:rPr>
          <w:rFonts w:ascii="Calibri" w:hAnsi="Calibri"/>
          <w:lang w:val="en-US"/>
        </w:rPr>
        <w:t xml:space="preserve"> </w:t>
      </w:r>
    </w:p>
    <w:p w:rsidR="008230D1" w:rsidRPr="00575FB1" w:rsidRDefault="008230D1" w:rsidP="008230D1">
      <w:pPr>
        <w:jc w:val="both"/>
        <w:rPr>
          <w:rFonts w:ascii="Calibri" w:hAnsi="Calibri"/>
          <w:lang w:val="en-US"/>
        </w:rPr>
      </w:pPr>
    </w:p>
    <w:tbl>
      <w:tblPr>
        <w:tblW w:w="4319" w:type="dxa"/>
        <w:jc w:val="center"/>
        <w:tblBorders>
          <w:top w:val="single" w:sz="18" w:space="0" w:color="auto"/>
          <w:bottom w:val="single" w:sz="1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3"/>
        <w:gridCol w:w="856"/>
        <w:gridCol w:w="1027"/>
        <w:gridCol w:w="1703"/>
      </w:tblGrid>
      <w:tr w:rsidR="00490CA2" w:rsidRPr="00F51F6F" w:rsidTr="00C830AF">
        <w:trPr>
          <w:trHeight w:val="492"/>
          <w:jc w:val="center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CA2" w:rsidRPr="00575FB1" w:rsidRDefault="00490CA2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0CA2" w:rsidRPr="00575FB1" w:rsidRDefault="00490CA2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575FB1">
              <w:rPr>
                <w:rFonts w:ascii="Calibri" w:hAnsi="Calibri"/>
                <w:bCs/>
                <w:i/>
                <w:sz w:val="18"/>
                <w:szCs w:val="18"/>
                <w:lang w:val="en-US"/>
              </w:rPr>
              <w:t>T</w:t>
            </w:r>
            <w:r>
              <w:rPr>
                <w:rFonts w:ascii="Calibri" w:hAnsi="Calibri"/>
                <w:bCs/>
                <w:i/>
                <w:sz w:val="18"/>
                <w:szCs w:val="18"/>
                <w:vertAlign w:val="subscript"/>
                <w:lang w:val="en-US"/>
              </w:rPr>
              <w:t>1/2</w:t>
            </w:r>
          </w:p>
        </w:tc>
        <w:tc>
          <w:tcPr>
            <w:tcW w:w="10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490CA2" w:rsidRPr="007D36BD" w:rsidRDefault="00490CA2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Production reaction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490CA2" w:rsidRPr="00575FB1" w:rsidRDefault="00C14688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 xml:space="preserve">Target Sn Isotope </w:t>
            </w:r>
            <w:r w:rsidR="00490CA2">
              <w:rPr>
                <w:rFonts w:ascii="Calibri" w:hAnsi="Calibri"/>
                <w:bCs/>
                <w:sz w:val="18"/>
                <w:szCs w:val="18"/>
                <w:lang w:val="en-US"/>
              </w:rPr>
              <w:t xml:space="preserve">Natural 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A</w:t>
            </w:r>
            <w:r w:rsidR="00490CA2">
              <w:rPr>
                <w:rFonts w:ascii="Calibri" w:hAnsi="Calibri"/>
                <w:bCs/>
                <w:sz w:val="18"/>
                <w:szCs w:val="18"/>
                <w:lang w:val="en-US"/>
              </w:rPr>
              <w:t>bundance</w:t>
            </w:r>
          </w:p>
        </w:tc>
      </w:tr>
      <w:tr w:rsidR="00490CA2" w:rsidRPr="00F51F6F" w:rsidTr="00C830AF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490CA2" w:rsidRPr="00575FB1" w:rsidRDefault="00490CA2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</w:t>
            </w:r>
            <w:r w:rsidR="00D02EE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5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Sb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490CA2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32.1</w:t>
            </w:r>
            <w:r w:rsidR="00490CA2">
              <w:rPr>
                <w:rFonts w:ascii="Calibri" w:hAnsi="Calibri"/>
                <w:sz w:val="18"/>
                <w:szCs w:val="18"/>
                <w:lang w:val="en-US"/>
              </w:rPr>
              <w:t xml:space="preserve"> min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490CA2" w:rsidRDefault="00490CA2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bookmarkStart w:id="1" w:name="OLE_LINK1"/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</w:t>
            </w:r>
            <w:r w:rsidR="00D02EE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5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Sn(p,n)</w:t>
            </w:r>
            <w:bookmarkEnd w:id="1"/>
          </w:p>
          <w:p w:rsidR="00D02EED" w:rsidRPr="00490CA2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6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Sn(p,2n)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FFFFFF"/>
          </w:tcPr>
          <w:p w:rsidR="00D02EED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0.34 %</w:t>
            </w:r>
          </w:p>
          <w:p w:rsidR="00490CA2" w:rsidRPr="00575FB1" w:rsidRDefault="00490CA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14.5 %</w:t>
            </w:r>
          </w:p>
        </w:tc>
      </w:tr>
      <w:tr w:rsidR="00D02EED" w:rsidRPr="00F51F6F" w:rsidTr="00C830AF">
        <w:trPr>
          <w:jc w:val="center"/>
        </w:trPr>
        <w:tc>
          <w:tcPr>
            <w:tcW w:w="0" w:type="auto"/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116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16 min</w:t>
            </w:r>
          </w:p>
        </w:tc>
        <w:tc>
          <w:tcPr>
            <w:tcW w:w="0" w:type="auto"/>
            <w:shd w:val="clear" w:color="auto" w:fill="FFFFFF"/>
          </w:tcPr>
          <w:p w:rsidR="00D02EED" w:rsidRDefault="00D02EED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116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Sn(p,n)</w:t>
            </w:r>
          </w:p>
          <w:p w:rsidR="00D02EED" w:rsidRPr="00490CA2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7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Sn(p,2n)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FFFFFF"/>
          </w:tcPr>
          <w:p w:rsidR="00D02EED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14.5 %</w:t>
            </w:r>
          </w:p>
          <w:p w:rsidR="00D02EED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7.7 %</w:t>
            </w:r>
          </w:p>
        </w:tc>
      </w:tr>
      <w:tr w:rsidR="00D02EED" w:rsidRPr="00F51F6F" w:rsidTr="00C830AF">
        <w:trPr>
          <w:jc w:val="center"/>
        </w:trPr>
        <w:tc>
          <w:tcPr>
            <w:tcW w:w="0" w:type="auto"/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116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m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60 min</w:t>
            </w:r>
          </w:p>
        </w:tc>
        <w:tc>
          <w:tcPr>
            <w:tcW w:w="0" w:type="auto"/>
            <w:shd w:val="clear" w:color="auto" w:fill="FFFFFF"/>
          </w:tcPr>
          <w:p w:rsidR="00D02EED" w:rsidRDefault="00D02EED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116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Sn(p,n)</w:t>
            </w:r>
          </w:p>
          <w:p w:rsidR="000D0682" w:rsidRPr="00490CA2" w:rsidRDefault="000D068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7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Sn(p,2n)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FFFFFF"/>
          </w:tcPr>
          <w:p w:rsidR="00D02EED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14.5 %</w:t>
            </w:r>
          </w:p>
          <w:p w:rsidR="000D0682" w:rsidRPr="00575FB1" w:rsidRDefault="000D068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7.7 %</w:t>
            </w:r>
          </w:p>
        </w:tc>
      </w:tr>
      <w:tr w:rsidR="00D02EED" w:rsidRPr="00F51F6F" w:rsidTr="00C830AF">
        <w:trPr>
          <w:jc w:val="center"/>
        </w:trPr>
        <w:tc>
          <w:tcPr>
            <w:tcW w:w="0" w:type="auto"/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7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2.8 h</w:t>
            </w:r>
          </w:p>
        </w:tc>
        <w:tc>
          <w:tcPr>
            <w:tcW w:w="0" w:type="auto"/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7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Sn(p,n)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7.7 %</w:t>
            </w:r>
          </w:p>
        </w:tc>
      </w:tr>
      <w:tr w:rsidR="00D02EED" w:rsidRPr="00F51F6F" w:rsidTr="00C830AF">
        <w:trPr>
          <w:jc w:val="center"/>
        </w:trPr>
        <w:tc>
          <w:tcPr>
            <w:tcW w:w="0" w:type="auto"/>
            <w:shd w:val="clear" w:color="auto" w:fill="FFFFFF"/>
          </w:tcPr>
          <w:p w:rsidR="00D02EED" w:rsidRPr="007D36BD" w:rsidRDefault="00D02EED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D02EED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FFFFFF"/>
          </w:tcPr>
          <w:p w:rsidR="00D02EED" w:rsidRPr="007D36BD" w:rsidRDefault="000D0682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8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Sn(p,2n)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FFFFFF"/>
          </w:tcPr>
          <w:p w:rsidR="00D02EED" w:rsidRDefault="000D068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24.2 %</w:t>
            </w:r>
          </w:p>
        </w:tc>
      </w:tr>
      <w:tr w:rsidR="000D0682" w:rsidRPr="00F51F6F" w:rsidTr="00C830AF">
        <w:trPr>
          <w:jc w:val="center"/>
        </w:trPr>
        <w:tc>
          <w:tcPr>
            <w:tcW w:w="0" w:type="auto"/>
            <w:shd w:val="clear" w:color="auto" w:fill="FFFFFF"/>
          </w:tcPr>
          <w:p w:rsidR="000D0682" w:rsidRPr="00575FB1" w:rsidRDefault="000D0682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8m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0D0682" w:rsidRPr="00575FB1" w:rsidRDefault="000D068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3.5 min</w:t>
            </w:r>
          </w:p>
        </w:tc>
        <w:tc>
          <w:tcPr>
            <w:tcW w:w="0" w:type="auto"/>
            <w:shd w:val="clear" w:color="auto" w:fill="FFFFFF"/>
          </w:tcPr>
          <w:p w:rsidR="000D0682" w:rsidRDefault="000D0682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8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Sn(p,n)</w:t>
            </w:r>
          </w:p>
          <w:p w:rsidR="000D0682" w:rsidRPr="00575FB1" w:rsidRDefault="000D068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9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Sn(p,2n)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FFFFFF"/>
          </w:tcPr>
          <w:p w:rsidR="000D0682" w:rsidRDefault="000D068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24.2 %</w:t>
            </w:r>
          </w:p>
          <w:p w:rsidR="000D0682" w:rsidRPr="00575FB1" w:rsidRDefault="000D068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8.6 %</w:t>
            </w:r>
          </w:p>
        </w:tc>
      </w:tr>
      <w:tr w:rsidR="00D02EED" w:rsidRPr="00F51F6F" w:rsidTr="00C830AF">
        <w:trPr>
          <w:jc w:val="center"/>
        </w:trPr>
        <w:tc>
          <w:tcPr>
            <w:tcW w:w="0" w:type="auto"/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8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5 h</w:t>
            </w:r>
          </w:p>
        </w:tc>
        <w:tc>
          <w:tcPr>
            <w:tcW w:w="0" w:type="auto"/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8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Sn(p,n)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24.2 %</w:t>
            </w:r>
          </w:p>
        </w:tc>
      </w:tr>
      <w:tr w:rsidR="00D02EED" w:rsidRPr="00F51F6F" w:rsidTr="00C830AF">
        <w:trPr>
          <w:jc w:val="center"/>
        </w:trPr>
        <w:tc>
          <w:tcPr>
            <w:tcW w:w="0" w:type="auto"/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9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38.5 h</w:t>
            </w:r>
          </w:p>
        </w:tc>
        <w:tc>
          <w:tcPr>
            <w:tcW w:w="0" w:type="auto"/>
            <w:shd w:val="clear" w:color="auto" w:fill="FFFFFF"/>
          </w:tcPr>
          <w:p w:rsidR="00D02EED" w:rsidRDefault="00D02EED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9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Sn(p,n)</w:t>
            </w:r>
          </w:p>
          <w:p w:rsidR="000D0682" w:rsidRPr="00575FB1" w:rsidRDefault="000D068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20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Sn(p,2n)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FFFFFF"/>
          </w:tcPr>
          <w:p w:rsidR="00D02EED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8.6 %</w:t>
            </w:r>
          </w:p>
          <w:p w:rsidR="000D0682" w:rsidRPr="00575FB1" w:rsidRDefault="000D068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32.6 %</w:t>
            </w:r>
          </w:p>
        </w:tc>
      </w:tr>
      <w:tr w:rsidR="000D0682" w:rsidRPr="00F51F6F" w:rsidTr="00C830AF">
        <w:trPr>
          <w:jc w:val="center"/>
        </w:trPr>
        <w:tc>
          <w:tcPr>
            <w:tcW w:w="0" w:type="auto"/>
            <w:shd w:val="clear" w:color="auto" w:fill="FFFFFF"/>
          </w:tcPr>
          <w:p w:rsidR="000D0682" w:rsidRPr="00575FB1" w:rsidRDefault="000D0682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20m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0D0682" w:rsidRPr="00575FB1" w:rsidRDefault="000D068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5.76 d</w:t>
            </w:r>
          </w:p>
        </w:tc>
        <w:tc>
          <w:tcPr>
            <w:tcW w:w="0" w:type="auto"/>
            <w:shd w:val="clear" w:color="auto" w:fill="FFFFFF"/>
          </w:tcPr>
          <w:p w:rsidR="000D0682" w:rsidRPr="00575FB1" w:rsidRDefault="000D068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20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Sn(p,n)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FFFFFF"/>
          </w:tcPr>
          <w:p w:rsidR="000D0682" w:rsidRPr="00575FB1" w:rsidRDefault="000D068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32.6 %</w:t>
            </w:r>
          </w:p>
        </w:tc>
      </w:tr>
      <w:tr w:rsidR="00D02EED" w:rsidRPr="00F51F6F" w:rsidTr="00C830AF">
        <w:trPr>
          <w:jc w:val="center"/>
        </w:trPr>
        <w:tc>
          <w:tcPr>
            <w:tcW w:w="0" w:type="auto"/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20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D02EED" w:rsidRPr="00575FB1" w:rsidRDefault="000D068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15.9 min</w:t>
            </w:r>
          </w:p>
        </w:tc>
        <w:tc>
          <w:tcPr>
            <w:tcW w:w="0" w:type="auto"/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20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Sn(p,n)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32.6 %</w:t>
            </w:r>
          </w:p>
        </w:tc>
      </w:tr>
      <w:tr w:rsidR="001955B2" w:rsidRPr="00F51F6F" w:rsidTr="00C830AF">
        <w:trPr>
          <w:jc w:val="center"/>
        </w:trPr>
        <w:tc>
          <w:tcPr>
            <w:tcW w:w="0" w:type="auto"/>
            <w:shd w:val="clear" w:color="auto" w:fill="FFFFFF"/>
          </w:tcPr>
          <w:p w:rsidR="001955B2" w:rsidRPr="00575FB1" w:rsidRDefault="001955B2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22m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1955B2" w:rsidRPr="00575FB1" w:rsidRDefault="001955B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4.19 min</w:t>
            </w:r>
          </w:p>
        </w:tc>
        <w:tc>
          <w:tcPr>
            <w:tcW w:w="0" w:type="auto"/>
            <w:shd w:val="clear" w:color="auto" w:fill="FFFFFF"/>
          </w:tcPr>
          <w:p w:rsidR="001955B2" w:rsidRPr="00575FB1" w:rsidRDefault="001955B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22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Sn(p,n)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FFFFFF"/>
          </w:tcPr>
          <w:p w:rsidR="001955B2" w:rsidRPr="00575FB1" w:rsidRDefault="001955B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4.6 %</w:t>
            </w:r>
          </w:p>
        </w:tc>
      </w:tr>
      <w:tr w:rsidR="00D02EED" w:rsidRPr="00F51F6F" w:rsidTr="00C830AF">
        <w:trPr>
          <w:jc w:val="center"/>
        </w:trPr>
        <w:tc>
          <w:tcPr>
            <w:tcW w:w="0" w:type="auto"/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22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2.72 d</w:t>
            </w:r>
          </w:p>
        </w:tc>
        <w:tc>
          <w:tcPr>
            <w:tcW w:w="0" w:type="auto"/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22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Sn(p,n)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4.6 %</w:t>
            </w:r>
          </w:p>
        </w:tc>
      </w:tr>
      <w:tr w:rsidR="001955B2" w:rsidRPr="00F51F6F" w:rsidTr="00C830AF">
        <w:trPr>
          <w:jc w:val="center"/>
        </w:trPr>
        <w:tc>
          <w:tcPr>
            <w:tcW w:w="0" w:type="auto"/>
            <w:shd w:val="clear" w:color="auto" w:fill="FFFFFF"/>
          </w:tcPr>
          <w:p w:rsidR="001955B2" w:rsidRPr="00575FB1" w:rsidRDefault="001955B2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24m2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1955B2" w:rsidRPr="00575FB1" w:rsidRDefault="001955B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20.2 min</w:t>
            </w:r>
          </w:p>
        </w:tc>
        <w:tc>
          <w:tcPr>
            <w:tcW w:w="0" w:type="auto"/>
            <w:shd w:val="clear" w:color="auto" w:fill="FFFFFF"/>
          </w:tcPr>
          <w:p w:rsidR="001955B2" w:rsidRPr="00575FB1" w:rsidRDefault="001955B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24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Sn(p,n)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FFFFFF"/>
          </w:tcPr>
          <w:p w:rsidR="001955B2" w:rsidRPr="00575FB1" w:rsidRDefault="001955B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5.8 %</w:t>
            </w:r>
          </w:p>
        </w:tc>
      </w:tr>
      <w:tr w:rsidR="001955B2" w:rsidRPr="00F51F6F" w:rsidTr="00C830AF">
        <w:trPr>
          <w:jc w:val="center"/>
        </w:trPr>
        <w:tc>
          <w:tcPr>
            <w:tcW w:w="0" w:type="auto"/>
            <w:shd w:val="clear" w:color="auto" w:fill="FFFFFF"/>
          </w:tcPr>
          <w:p w:rsidR="001955B2" w:rsidRPr="00575FB1" w:rsidRDefault="001955B2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24m1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1955B2" w:rsidRPr="00575FB1" w:rsidRDefault="001955B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93 sec</w:t>
            </w:r>
          </w:p>
        </w:tc>
        <w:tc>
          <w:tcPr>
            <w:tcW w:w="0" w:type="auto"/>
            <w:shd w:val="clear" w:color="auto" w:fill="FFFFFF"/>
          </w:tcPr>
          <w:p w:rsidR="001955B2" w:rsidRPr="00575FB1" w:rsidRDefault="001955B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24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Sn(p,n)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FFFFFF"/>
          </w:tcPr>
          <w:p w:rsidR="001955B2" w:rsidRPr="00575FB1" w:rsidRDefault="001955B2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5.8 %</w:t>
            </w:r>
          </w:p>
        </w:tc>
      </w:tr>
      <w:tr w:rsidR="00D02EED" w:rsidRPr="00F51F6F" w:rsidTr="00C830AF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24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Sb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60.2 d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7D36BD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>24</w:t>
            </w: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Sn(p,n)</w:t>
            </w:r>
          </w:p>
        </w:tc>
        <w:tc>
          <w:tcPr>
            <w:tcW w:w="1703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:rsidR="00D02EED" w:rsidRPr="00575FB1" w:rsidRDefault="00D02EED" w:rsidP="00842D3F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5.8 %</w:t>
            </w:r>
          </w:p>
        </w:tc>
      </w:tr>
    </w:tbl>
    <w:p w:rsidR="008230D1" w:rsidRPr="00575FB1" w:rsidRDefault="008230D1" w:rsidP="008230D1">
      <w:pPr>
        <w:spacing w:before="120"/>
        <w:jc w:val="both"/>
        <w:rPr>
          <w:rFonts w:ascii="Calibri" w:hAnsi="Calibri"/>
          <w:lang w:val="en-US"/>
        </w:rPr>
      </w:pPr>
      <w:r w:rsidRPr="00575FB1">
        <w:rPr>
          <w:rFonts w:ascii="Calibri" w:hAnsi="Calibri"/>
          <w:smallCaps/>
          <w:lang w:val="en-US"/>
        </w:rPr>
        <w:t>Table</w:t>
      </w:r>
      <w:r w:rsidRPr="00575FB1">
        <w:rPr>
          <w:rFonts w:ascii="Calibri" w:hAnsi="Calibri"/>
          <w:lang w:val="en-US"/>
        </w:rPr>
        <w:t xml:space="preserve"> 1. </w:t>
      </w:r>
      <w:r w:rsidR="00C44F09">
        <w:rPr>
          <w:rFonts w:ascii="Calibri" w:hAnsi="Calibri"/>
          <w:lang w:val="en-US"/>
        </w:rPr>
        <w:t>Radioantimony impurities potentially produced from proton irradiation of</w:t>
      </w:r>
      <w:r w:rsidR="00490CA2">
        <w:rPr>
          <w:rFonts w:ascii="Calibri" w:hAnsi="Calibri"/>
          <w:lang w:val="en-US"/>
        </w:rPr>
        <w:t xml:space="preserve"> </w:t>
      </w:r>
      <w:r w:rsidR="00C44F09">
        <w:rPr>
          <w:rFonts w:ascii="Calibri" w:hAnsi="Calibri"/>
          <w:vertAlign w:val="superscript"/>
          <w:lang w:val="en-US"/>
        </w:rPr>
        <w:t>nat</w:t>
      </w:r>
      <w:r w:rsidR="00C44F09">
        <w:rPr>
          <w:rFonts w:ascii="Calibri" w:hAnsi="Calibri"/>
          <w:lang w:val="en-US"/>
        </w:rPr>
        <w:t>Sn</w:t>
      </w:r>
      <w:r w:rsidR="00F46A21">
        <w:rPr>
          <w:rFonts w:ascii="Calibri" w:hAnsi="Calibri"/>
          <w:lang w:val="en-US"/>
        </w:rPr>
        <w:t xml:space="preserve"> [2</w:t>
      </w:r>
      <w:r w:rsidR="00490CA2">
        <w:rPr>
          <w:rFonts w:ascii="Calibri" w:hAnsi="Calibri"/>
          <w:lang w:val="en-US"/>
        </w:rPr>
        <w:t>].</w:t>
      </w:r>
    </w:p>
    <w:p w:rsidR="00DF1B3C" w:rsidRPr="00575FB1" w:rsidRDefault="00DF1B3C" w:rsidP="000B7F85">
      <w:pPr>
        <w:jc w:val="both"/>
        <w:rPr>
          <w:rFonts w:ascii="Calibri" w:hAnsi="Calibri"/>
          <w:lang w:val="en-US"/>
        </w:rPr>
      </w:pPr>
    </w:p>
    <w:p w:rsidR="00DF1B3C" w:rsidRPr="00575FB1" w:rsidRDefault="007F2C77" w:rsidP="00A866D0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Electrochemical deposition provides a reclamation option as it is commonly implemented </w:t>
      </w:r>
      <w:r w:rsidR="001D1160">
        <w:rPr>
          <w:rFonts w:ascii="Calibri" w:hAnsi="Calibri"/>
          <w:lang w:val="en-US"/>
        </w:rPr>
        <w:t>with other enriched</w:t>
      </w:r>
      <w:r>
        <w:rPr>
          <w:rFonts w:ascii="Calibri" w:hAnsi="Calibri"/>
          <w:lang w:val="en-US"/>
        </w:rPr>
        <w:t xml:space="preserve"> </w:t>
      </w:r>
      <w:r w:rsidR="001D1160">
        <w:rPr>
          <w:rFonts w:ascii="Calibri" w:hAnsi="Calibri"/>
          <w:lang w:val="en-US"/>
        </w:rPr>
        <w:t xml:space="preserve">metals, such as the creation of </w:t>
      </w:r>
      <w:r w:rsidR="001D1160" w:rsidRPr="001D1160">
        <w:rPr>
          <w:rFonts w:ascii="Calibri" w:hAnsi="Calibri"/>
          <w:vertAlign w:val="superscript"/>
          <w:lang w:val="en-US"/>
        </w:rPr>
        <w:t>64</w:t>
      </w:r>
      <w:r w:rsidR="001D1160">
        <w:rPr>
          <w:rFonts w:ascii="Calibri" w:hAnsi="Calibri"/>
          <w:lang w:val="en-US"/>
        </w:rPr>
        <w:t>Cu [</w:t>
      </w:r>
      <w:r w:rsidR="000021CF">
        <w:rPr>
          <w:rFonts w:ascii="Calibri" w:hAnsi="Calibri"/>
          <w:lang w:val="en-US"/>
        </w:rPr>
        <w:t>3</w:t>
      </w:r>
      <w:r w:rsidR="001D1160">
        <w:rPr>
          <w:rFonts w:ascii="Calibri" w:hAnsi="Calibri"/>
          <w:lang w:val="en-US"/>
        </w:rPr>
        <w:t>].</w:t>
      </w:r>
      <w:r>
        <w:rPr>
          <w:rFonts w:ascii="Calibri" w:hAnsi="Calibri"/>
          <w:lang w:val="en-US"/>
        </w:rPr>
        <w:t xml:space="preserve"> </w:t>
      </w:r>
      <w:r w:rsidR="001D1160">
        <w:rPr>
          <w:rFonts w:ascii="Calibri" w:hAnsi="Calibri"/>
          <w:lang w:val="en-US"/>
        </w:rPr>
        <w:t xml:space="preserve">Historically, tin deposition is performed </w:t>
      </w:r>
      <w:r w:rsidR="00353691">
        <w:rPr>
          <w:rFonts w:ascii="Calibri" w:hAnsi="Calibri"/>
          <w:lang w:val="en-US"/>
        </w:rPr>
        <w:t>with industrial applications including corrosion protection and safe food contact within</w:t>
      </w:r>
      <w:r w:rsidR="001D1160">
        <w:rPr>
          <w:rFonts w:ascii="Calibri" w:hAnsi="Calibri"/>
          <w:lang w:val="en-US"/>
        </w:rPr>
        <w:t xml:space="preserve"> cookware and food storage containers, however, these plating baths include significant organic additives </w:t>
      </w:r>
      <w:r w:rsidR="00353691">
        <w:rPr>
          <w:rFonts w:ascii="Calibri" w:hAnsi="Calibri"/>
          <w:lang w:val="en-US"/>
        </w:rPr>
        <w:t>to control deposition rate, surface morphology, and</w:t>
      </w:r>
      <w:r w:rsidR="000021CF">
        <w:rPr>
          <w:rFonts w:ascii="Calibri" w:hAnsi="Calibri"/>
          <w:lang w:val="en-US"/>
        </w:rPr>
        <w:t xml:space="preserve"> texture among other features [4</w:t>
      </w:r>
      <w:r w:rsidR="00353691">
        <w:rPr>
          <w:rFonts w:ascii="Calibri" w:hAnsi="Calibri"/>
          <w:lang w:val="en-US"/>
        </w:rPr>
        <w:t xml:space="preserve">]. Plating from acidic solutions without additives, </w:t>
      </w:r>
      <w:r w:rsidR="00353691">
        <w:rPr>
          <w:rFonts w:ascii="Calibri" w:hAnsi="Calibri"/>
          <w:lang w:val="en-US"/>
        </w:rPr>
        <w:t>tin has a tendency to create whiskers</w:t>
      </w:r>
      <w:r w:rsidR="00820841">
        <w:rPr>
          <w:rFonts w:ascii="Calibri" w:hAnsi="Calibri"/>
          <w:lang w:val="en-US"/>
        </w:rPr>
        <w:t xml:space="preserve"> and soft, removable deposits. These are</w:t>
      </w:r>
      <w:r w:rsidR="00353691">
        <w:rPr>
          <w:rFonts w:ascii="Calibri" w:hAnsi="Calibri"/>
          <w:lang w:val="en-US"/>
        </w:rPr>
        <w:t xml:space="preserve"> not ideal cyclotron targets</w:t>
      </w:r>
      <w:r w:rsidR="00891F93">
        <w:rPr>
          <w:rFonts w:ascii="Calibri" w:hAnsi="Calibri"/>
          <w:lang w:val="en-US"/>
        </w:rPr>
        <w:t xml:space="preserve">, as targets need to be </w:t>
      </w:r>
      <w:r w:rsidR="006B537E">
        <w:rPr>
          <w:rFonts w:ascii="Calibri" w:hAnsi="Calibri"/>
          <w:lang w:val="en-US"/>
        </w:rPr>
        <w:t>thermally and electrostatically tolerant</w:t>
      </w:r>
      <w:r w:rsidR="00353691">
        <w:rPr>
          <w:rFonts w:ascii="Calibri" w:hAnsi="Calibri"/>
          <w:lang w:val="en-US"/>
        </w:rPr>
        <w:t>.</w:t>
      </w:r>
      <w:r w:rsidR="00885DBC">
        <w:rPr>
          <w:rFonts w:ascii="Calibri" w:hAnsi="Calibri"/>
          <w:lang w:val="en-US"/>
        </w:rPr>
        <w:t xml:space="preserve"> Additionally, a simple </w:t>
      </w:r>
      <w:r w:rsidR="006C3F09">
        <w:rPr>
          <w:rFonts w:ascii="Calibri" w:hAnsi="Calibri"/>
          <w:lang w:val="en-US"/>
        </w:rPr>
        <w:t>but e</w:t>
      </w:r>
      <w:r w:rsidR="00885DBC">
        <w:rPr>
          <w:rFonts w:ascii="Calibri" w:hAnsi="Calibri"/>
          <w:lang w:val="en-US"/>
        </w:rPr>
        <w:t>ffective bath solution is desired as organic additives provide contamination within the target and could propagate further into radionuclide production.</w:t>
      </w:r>
    </w:p>
    <w:p w:rsidR="00A9239E" w:rsidRPr="00575FB1" w:rsidRDefault="00A9239E" w:rsidP="000B7F85">
      <w:pPr>
        <w:jc w:val="both"/>
        <w:rPr>
          <w:rFonts w:ascii="Calibri" w:hAnsi="Calibri"/>
          <w:lang w:val="en-US"/>
        </w:rPr>
      </w:pPr>
    </w:p>
    <w:p w:rsidR="00A9239E" w:rsidRPr="00575FB1" w:rsidRDefault="00A9239E" w:rsidP="00CE61A9">
      <w:pPr>
        <w:jc w:val="both"/>
        <w:outlineLvl w:val="0"/>
        <w:rPr>
          <w:rFonts w:ascii="Calibri" w:hAnsi="Calibri"/>
          <w:b/>
          <w:sz w:val="22"/>
          <w:szCs w:val="22"/>
          <w:lang w:val="en-US"/>
        </w:rPr>
      </w:pPr>
      <w:r w:rsidRPr="00575FB1">
        <w:rPr>
          <w:rFonts w:ascii="Calibri" w:hAnsi="Calibri"/>
          <w:b/>
          <w:lang w:val="en-US"/>
        </w:rPr>
        <w:t>Material and Methods</w:t>
      </w:r>
    </w:p>
    <w:p w:rsidR="00A9239E" w:rsidRDefault="00885DBC" w:rsidP="00A866D0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SnSO</w:t>
      </w:r>
      <w:r w:rsidRPr="00C830AF">
        <w:rPr>
          <w:rFonts w:ascii="Calibri" w:hAnsi="Calibri"/>
          <w:vertAlign w:val="subscript"/>
          <w:lang w:val="en-US"/>
        </w:rPr>
        <w:t>4</w:t>
      </w:r>
      <w:r>
        <w:rPr>
          <w:rFonts w:ascii="Calibri" w:hAnsi="Calibri"/>
          <w:lang w:val="en-US"/>
        </w:rPr>
        <w:t xml:space="preserve"> </w:t>
      </w:r>
      <w:r w:rsidR="00820841">
        <w:rPr>
          <w:rFonts w:ascii="Calibri" w:hAnsi="Calibri"/>
          <w:lang w:val="en-US"/>
        </w:rPr>
        <w:t xml:space="preserve">was sourced from </w:t>
      </w:r>
      <w:r>
        <w:rPr>
          <w:rFonts w:ascii="Calibri" w:hAnsi="Calibri"/>
          <w:lang w:val="en-US"/>
        </w:rPr>
        <w:t>(</w:t>
      </w:r>
      <w:r w:rsidR="005257BE">
        <w:rPr>
          <w:rFonts w:ascii="Calibri" w:hAnsi="Calibri"/>
          <w:lang w:val="en-US"/>
        </w:rPr>
        <w:t>Strem Chemicals</w:t>
      </w:r>
      <w:r>
        <w:rPr>
          <w:rFonts w:ascii="Calibri" w:hAnsi="Calibri"/>
          <w:lang w:val="en-US"/>
        </w:rPr>
        <w:t xml:space="preserve">). </w:t>
      </w:r>
      <w:r w:rsidR="00820841">
        <w:rPr>
          <w:rFonts w:ascii="Calibri" w:hAnsi="Calibri"/>
          <w:lang w:val="en-US"/>
        </w:rPr>
        <w:t>The s</w:t>
      </w:r>
      <w:r>
        <w:rPr>
          <w:rFonts w:ascii="Calibri" w:hAnsi="Calibri"/>
          <w:lang w:val="en-US"/>
        </w:rPr>
        <w:t>ulfuric acid</w:t>
      </w:r>
      <w:r w:rsidR="00820841">
        <w:rPr>
          <w:rFonts w:ascii="Calibri" w:hAnsi="Calibri"/>
          <w:lang w:val="en-US"/>
        </w:rPr>
        <w:t>-</w:t>
      </w:r>
      <w:r>
        <w:rPr>
          <w:rFonts w:ascii="Calibri" w:hAnsi="Calibri"/>
          <w:lang w:val="en-US"/>
        </w:rPr>
        <w:t xml:space="preserve">based </w:t>
      </w:r>
      <w:r w:rsidR="00820841">
        <w:rPr>
          <w:rFonts w:ascii="Calibri" w:hAnsi="Calibri"/>
          <w:lang w:val="en-US"/>
        </w:rPr>
        <w:t xml:space="preserve">plating </w:t>
      </w:r>
      <w:r>
        <w:rPr>
          <w:rFonts w:ascii="Calibri" w:hAnsi="Calibri"/>
          <w:lang w:val="en-US"/>
        </w:rPr>
        <w:t xml:space="preserve">bath solution and electrodeposition parameters are shown </w:t>
      </w:r>
      <w:r w:rsidR="00820841">
        <w:rPr>
          <w:rFonts w:ascii="Calibri" w:hAnsi="Calibri"/>
          <w:lang w:val="en-US"/>
        </w:rPr>
        <w:t xml:space="preserve">in </w:t>
      </w:r>
      <w:r>
        <w:rPr>
          <w:rFonts w:ascii="Calibri" w:hAnsi="Calibri"/>
          <w:lang w:val="en-US"/>
        </w:rPr>
        <w:t>Table 2.</w:t>
      </w:r>
      <w:r w:rsidR="00842D3F">
        <w:rPr>
          <w:rFonts w:ascii="Calibri" w:hAnsi="Calibri"/>
          <w:lang w:val="en-US"/>
        </w:rPr>
        <w:t xml:space="preserve"> The deposition parameters were modified from P. Møller and L. Nielsen [5]. The electroplating was conducted in a voltage controlled fashion with constant 3.9 volts applied.</w:t>
      </w:r>
    </w:p>
    <w:p w:rsidR="00885DBC" w:rsidRPr="00575FB1" w:rsidRDefault="00885DBC" w:rsidP="00885DBC">
      <w:pPr>
        <w:ind w:firstLine="708"/>
        <w:jc w:val="both"/>
        <w:rPr>
          <w:rFonts w:ascii="Calibri" w:hAnsi="Calibri"/>
          <w:lang w:val="en-US"/>
        </w:rPr>
      </w:pPr>
    </w:p>
    <w:tbl>
      <w:tblPr>
        <w:tblW w:w="0" w:type="auto"/>
        <w:jc w:val="center"/>
        <w:tblBorders>
          <w:top w:val="single" w:sz="18" w:space="0" w:color="auto"/>
          <w:bottom w:val="single" w:sz="1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56"/>
        <w:gridCol w:w="1038"/>
      </w:tblGrid>
      <w:tr w:rsidR="007B7345" w:rsidRPr="00F51F6F" w:rsidTr="00C830AF">
        <w:trPr>
          <w:trHeight w:val="330"/>
          <w:jc w:val="center"/>
        </w:trPr>
        <w:tc>
          <w:tcPr>
            <w:tcW w:w="27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345" w:rsidRPr="00575FB1" w:rsidRDefault="007B7345" w:rsidP="00530ED8">
            <w:pPr>
              <w:jc w:val="both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Component</w:t>
            </w:r>
          </w:p>
        </w:tc>
        <w:tc>
          <w:tcPr>
            <w:tcW w:w="10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345" w:rsidRPr="00575FB1" w:rsidRDefault="007B7345" w:rsidP="007B7345">
            <w:pPr>
              <w:jc w:val="center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Value</w:t>
            </w:r>
          </w:p>
        </w:tc>
      </w:tr>
      <w:tr w:rsidR="007B7345" w:rsidRPr="00F51F6F" w:rsidTr="007B7345">
        <w:trPr>
          <w:jc w:val="center"/>
        </w:trPr>
        <w:tc>
          <w:tcPr>
            <w:tcW w:w="2756" w:type="dxa"/>
            <w:tcBorders>
              <w:top w:val="single" w:sz="4" w:space="0" w:color="auto"/>
            </w:tcBorders>
            <w:shd w:val="clear" w:color="auto" w:fill="FFFFFF"/>
          </w:tcPr>
          <w:p w:rsidR="007B7345" w:rsidRPr="007B7345" w:rsidRDefault="007B7345" w:rsidP="00530ED8">
            <w:pPr>
              <w:jc w:val="both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Stannus sulfate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7B7345" w:rsidRPr="00575FB1" w:rsidRDefault="007B7345" w:rsidP="00530ED8">
            <w:pPr>
              <w:jc w:val="right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90 g/L</w:t>
            </w:r>
          </w:p>
        </w:tc>
      </w:tr>
      <w:tr w:rsidR="007B7345" w:rsidRPr="00F51F6F" w:rsidTr="007B7345">
        <w:trPr>
          <w:jc w:val="center"/>
        </w:trPr>
        <w:tc>
          <w:tcPr>
            <w:tcW w:w="2756" w:type="dxa"/>
            <w:shd w:val="clear" w:color="auto" w:fill="FFFFFF"/>
          </w:tcPr>
          <w:p w:rsidR="007B7345" w:rsidRPr="007B7345" w:rsidRDefault="007B7345" w:rsidP="00530ED8">
            <w:pPr>
              <w:jc w:val="both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Sulfuric acid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7B7345" w:rsidRPr="00575FB1" w:rsidRDefault="007B7345" w:rsidP="00530ED8">
            <w:pPr>
              <w:jc w:val="right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70 g/L</w:t>
            </w:r>
          </w:p>
        </w:tc>
      </w:tr>
      <w:tr w:rsidR="007B7345" w:rsidRPr="00F51F6F" w:rsidTr="007B7345">
        <w:trPr>
          <w:jc w:val="center"/>
        </w:trPr>
        <w:tc>
          <w:tcPr>
            <w:tcW w:w="2756" w:type="dxa"/>
            <w:shd w:val="clear" w:color="auto" w:fill="FFFFFF"/>
          </w:tcPr>
          <w:p w:rsidR="007B7345" w:rsidRPr="007B7345" w:rsidRDefault="007B7345" w:rsidP="00530ED8">
            <w:pPr>
              <w:jc w:val="both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Phenol sulfonic acid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7B7345" w:rsidRPr="00575FB1" w:rsidRDefault="007B7345" w:rsidP="00530ED8">
            <w:pPr>
              <w:jc w:val="right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60 g/L</w:t>
            </w:r>
          </w:p>
        </w:tc>
      </w:tr>
      <w:tr w:rsidR="007B7345" w:rsidRPr="00F51F6F" w:rsidTr="007B7345">
        <w:trPr>
          <w:jc w:val="center"/>
        </w:trPr>
        <w:tc>
          <w:tcPr>
            <w:tcW w:w="2756" w:type="dxa"/>
            <w:shd w:val="clear" w:color="auto" w:fill="FFFFFF"/>
          </w:tcPr>
          <w:p w:rsidR="007B7345" w:rsidRPr="007B7345" w:rsidRDefault="007B7345" w:rsidP="00530ED8">
            <w:pPr>
              <w:jc w:val="both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Gelatin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7B7345" w:rsidRPr="00575FB1" w:rsidRDefault="007B7345" w:rsidP="00530ED8">
            <w:pPr>
              <w:jc w:val="right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2 g/L</w:t>
            </w:r>
          </w:p>
        </w:tc>
      </w:tr>
      <w:tr w:rsidR="007B7345" w:rsidRPr="00F51F6F" w:rsidTr="007B7345">
        <w:trPr>
          <w:jc w:val="center"/>
        </w:trPr>
        <w:tc>
          <w:tcPr>
            <w:tcW w:w="2756" w:type="dxa"/>
            <w:shd w:val="clear" w:color="auto" w:fill="FFFFFF"/>
          </w:tcPr>
          <w:p w:rsidR="007B7345" w:rsidRPr="007B7345" w:rsidRDefault="007B7345" w:rsidP="00530ED8">
            <w:pPr>
              <w:jc w:val="both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2-naftol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7B7345" w:rsidRPr="00575FB1" w:rsidRDefault="007B7345" w:rsidP="00530ED8">
            <w:pPr>
              <w:jc w:val="right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 g/L</w:t>
            </w:r>
          </w:p>
        </w:tc>
      </w:tr>
      <w:tr w:rsidR="007B7345" w:rsidRPr="00F51F6F" w:rsidTr="007B7345">
        <w:trPr>
          <w:jc w:val="center"/>
        </w:trPr>
        <w:tc>
          <w:tcPr>
            <w:tcW w:w="2756" w:type="dxa"/>
            <w:shd w:val="clear" w:color="auto" w:fill="FFFFFF"/>
          </w:tcPr>
          <w:p w:rsidR="007B7345" w:rsidRPr="007B7345" w:rsidRDefault="007B7345" w:rsidP="00530ED8">
            <w:pPr>
              <w:jc w:val="both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Temperature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7B7345" w:rsidRPr="00575FB1" w:rsidRDefault="007B7345" w:rsidP="00530ED8">
            <w:pPr>
              <w:jc w:val="right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50 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sym w:font="Symbol" w:char="F0B0"/>
            </w:r>
            <w:r>
              <w:rPr>
                <w:rFonts w:ascii="Calibri" w:hAnsi="Calibri"/>
                <w:sz w:val="18"/>
                <w:szCs w:val="18"/>
                <w:lang w:val="en-US"/>
              </w:rPr>
              <w:t>C</w:t>
            </w:r>
          </w:p>
        </w:tc>
      </w:tr>
      <w:tr w:rsidR="007B7345" w:rsidRPr="00F51F6F" w:rsidTr="007B7345">
        <w:trPr>
          <w:jc w:val="center"/>
        </w:trPr>
        <w:tc>
          <w:tcPr>
            <w:tcW w:w="2756" w:type="dxa"/>
            <w:tcBorders>
              <w:bottom w:val="single" w:sz="12" w:space="0" w:color="auto"/>
            </w:tcBorders>
            <w:shd w:val="clear" w:color="auto" w:fill="FFFFFF"/>
          </w:tcPr>
          <w:p w:rsidR="007B7345" w:rsidRPr="007B7345" w:rsidRDefault="007B7345" w:rsidP="00530ED8">
            <w:pPr>
              <w:jc w:val="both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Current Density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FFFFFF"/>
          </w:tcPr>
          <w:p w:rsidR="007B7345" w:rsidRPr="00575FB1" w:rsidRDefault="007B7345" w:rsidP="00530ED8">
            <w:pPr>
              <w:jc w:val="right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10 mA/cm</w:t>
            </w:r>
            <w:r w:rsidRPr="007B7345">
              <w:rPr>
                <w:rFonts w:ascii="Calibri" w:hAnsi="Calibri"/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</w:tbl>
    <w:p w:rsidR="00885DBC" w:rsidRPr="00575FB1" w:rsidRDefault="00885DBC" w:rsidP="00885DBC">
      <w:pPr>
        <w:spacing w:before="120"/>
        <w:jc w:val="both"/>
        <w:rPr>
          <w:rFonts w:ascii="Calibri" w:hAnsi="Calibri"/>
          <w:lang w:val="en-US"/>
        </w:rPr>
      </w:pPr>
      <w:r w:rsidRPr="00575FB1">
        <w:rPr>
          <w:rFonts w:ascii="Calibri" w:hAnsi="Calibri"/>
          <w:smallCaps/>
          <w:lang w:val="en-US"/>
        </w:rPr>
        <w:t>Table</w:t>
      </w:r>
      <w:r>
        <w:rPr>
          <w:rFonts w:ascii="Calibri" w:hAnsi="Calibri"/>
          <w:lang w:val="en-US"/>
        </w:rPr>
        <w:t xml:space="preserve"> 2</w:t>
      </w:r>
      <w:r w:rsidRPr="00575FB1">
        <w:rPr>
          <w:rFonts w:ascii="Calibri" w:hAnsi="Calibri"/>
          <w:lang w:val="en-US"/>
        </w:rPr>
        <w:t xml:space="preserve">. </w:t>
      </w:r>
      <w:r w:rsidR="00820841">
        <w:rPr>
          <w:rFonts w:ascii="Calibri" w:hAnsi="Calibri"/>
          <w:lang w:val="en-US"/>
        </w:rPr>
        <w:t>S</w:t>
      </w:r>
      <w:r>
        <w:rPr>
          <w:rFonts w:ascii="Calibri" w:hAnsi="Calibri"/>
          <w:lang w:val="en-US"/>
        </w:rPr>
        <w:t>ulfuric acid based Sn plating solution and deposition parameters modified from P. Møller and L. Nielsen</w:t>
      </w:r>
      <w:r w:rsidR="00820841">
        <w:rPr>
          <w:rFonts w:ascii="Calibri" w:hAnsi="Calibri"/>
          <w:lang w:val="en-US"/>
        </w:rPr>
        <w:t xml:space="preserve"> </w:t>
      </w:r>
      <w:r w:rsidR="000021CF">
        <w:rPr>
          <w:rFonts w:ascii="Calibri" w:hAnsi="Calibri"/>
          <w:lang w:val="en-US"/>
        </w:rPr>
        <w:t>[5</w:t>
      </w:r>
      <w:r>
        <w:rPr>
          <w:rFonts w:ascii="Calibri" w:hAnsi="Calibri"/>
          <w:lang w:val="en-US"/>
        </w:rPr>
        <w:t>].</w:t>
      </w:r>
    </w:p>
    <w:p w:rsidR="00A9239E" w:rsidRDefault="00A9239E" w:rsidP="000B7F85">
      <w:pPr>
        <w:jc w:val="both"/>
        <w:rPr>
          <w:rFonts w:ascii="Calibri" w:hAnsi="Calibri"/>
          <w:lang w:val="en-US"/>
        </w:rPr>
      </w:pPr>
    </w:p>
    <w:p w:rsidR="00A866D0" w:rsidRDefault="00524F67" w:rsidP="00A866D0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Electrodeposition was p</w:t>
      </w:r>
      <w:r w:rsidR="00820841">
        <w:rPr>
          <w:rFonts w:ascii="Calibri" w:hAnsi="Calibri"/>
          <w:lang w:val="en-US"/>
        </w:rPr>
        <w:t>er</w:t>
      </w:r>
      <w:r>
        <w:rPr>
          <w:rFonts w:ascii="Calibri" w:hAnsi="Calibri"/>
          <w:lang w:val="en-US"/>
        </w:rPr>
        <w:t xml:space="preserve">formed </w:t>
      </w:r>
      <w:r w:rsidR="00820841">
        <w:rPr>
          <w:rFonts w:ascii="Calibri" w:hAnsi="Calibri"/>
          <w:lang w:val="en-US"/>
        </w:rPr>
        <w:t xml:space="preserve">in </w:t>
      </w:r>
      <w:r w:rsidR="00D707E1">
        <w:rPr>
          <w:rFonts w:ascii="Calibri" w:hAnsi="Calibri"/>
          <w:lang w:val="en-US"/>
        </w:rPr>
        <w:t>the</w:t>
      </w:r>
      <w:r w:rsidR="00E24EE2">
        <w:rPr>
          <w:rFonts w:ascii="Calibri" w:hAnsi="Calibri"/>
          <w:lang w:val="en-US"/>
        </w:rPr>
        <w:t xml:space="preserve"> chamber </w:t>
      </w:r>
      <w:r w:rsidR="00820841">
        <w:rPr>
          <w:rFonts w:ascii="Calibri" w:hAnsi="Calibri"/>
          <w:lang w:val="en-US"/>
        </w:rPr>
        <w:t xml:space="preserve">shown schematically </w:t>
      </w:r>
      <w:r w:rsidR="00CF796F">
        <w:rPr>
          <w:rFonts w:ascii="Calibri" w:hAnsi="Calibri"/>
          <w:lang w:val="en-US"/>
        </w:rPr>
        <w:t>in Figure 1</w:t>
      </w:r>
      <w:r w:rsidR="00D707E1">
        <w:rPr>
          <w:rFonts w:ascii="Calibri" w:hAnsi="Calibri"/>
          <w:lang w:val="en-US"/>
        </w:rPr>
        <w:t>;</w:t>
      </w:r>
      <w:r w:rsidR="00CF796F">
        <w:rPr>
          <w:rFonts w:ascii="Calibri" w:hAnsi="Calibri"/>
          <w:lang w:val="en-US"/>
        </w:rPr>
        <w:t xml:space="preserve"> noted system features include </w:t>
      </w:r>
      <w:r w:rsidR="00D707E1">
        <w:rPr>
          <w:rFonts w:ascii="Calibri" w:hAnsi="Calibri"/>
          <w:lang w:val="en-US"/>
        </w:rPr>
        <w:t xml:space="preserve">a </w:t>
      </w:r>
      <w:r>
        <w:rPr>
          <w:rFonts w:ascii="Calibri" w:hAnsi="Calibri"/>
          <w:lang w:val="en-US"/>
        </w:rPr>
        <w:t xml:space="preserve">platinum </w:t>
      </w:r>
      <w:r w:rsidR="00E24EE2">
        <w:rPr>
          <w:rFonts w:ascii="Calibri" w:hAnsi="Calibri"/>
          <w:lang w:val="en-US"/>
        </w:rPr>
        <w:t xml:space="preserve">tube </w:t>
      </w:r>
      <w:r>
        <w:rPr>
          <w:rFonts w:ascii="Calibri" w:hAnsi="Calibri"/>
          <w:lang w:val="en-US"/>
        </w:rPr>
        <w:t xml:space="preserve">anode, Au cathode, </w:t>
      </w:r>
      <w:r w:rsidR="00D707E1">
        <w:rPr>
          <w:rFonts w:ascii="Calibri" w:hAnsi="Calibri"/>
          <w:lang w:val="en-US"/>
        </w:rPr>
        <w:t>pumped solution</w:t>
      </w:r>
      <w:r w:rsidR="00CF796F">
        <w:rPr>
          <w:rFonts w:ascii="Calibri" w:hAnsi="Calibri"/>
          <w:lang w:val="en-US"/>
        </w:rPr>
        <w:t xml:space="preserve"> flow </w:t>
      </w:r>
      <w:r w:rsidR="00D707E1">
        <w:rPr>
          <w:rFonts w:ascii="Calibri" w:hAnsi="Calibri"/>
          <w:lang w:val="en-US"/>
        </w:rPr>
        <w:t>(~3mL/min)</w:t>
      </w:r>
      <w:r w:rsidR="00CF796F">
        <w:rPr>
          <w:rFonts w:ascii="Calibri" w:hAnsi="Calibri"/>
          <w:lang w:val="en-US"/>
        </w:rPr>
        <w:t xml:space="preserve">, and </w:t>
      </w:r>
      <w:r w:rsidR="00D707E1">
        <w:rPr>
          <w:rFonts w:ascii="Calibri" w:hAnsi="Calibri"/>
          <w:lang w:val="en-US"/>
        </w:rPr>
        <w:t xml:space="preserve">a </w:t>
      </w:r>
      <w:r w:rsidR="00CF796F">
        <w:rPr>
          <w:rFonts w:ascii="Calibri" w:hAnsi="Calibri"/>
          <w:lang w:val="en-US"/>
        </w:rPr>
        <w:t>heating block.</w:t>
      </w:r>
      <w:r w:rsidR="00113399">
        <w:rPr>
          <w:rFonts w:ascii="Calibri" w:hAnsi="Calibri"/>
          <w:lang w:val="en-US"/>
        </w:rPr>
        <w:t xml:space="preserve"> </w:t>
      </w:r>
    </w:p>
    <w:p w:rsidR="00A866D0" w:rsidRDefault="00A866D0" w:rsidP="00A866D0">
      <w:pPr>
        <w:jc w:val="both"/>
        <w:rPr>
          <w:rFonts w:ascii="Calibri" w:hAnsi="Calibri"/>
          <w:lang w:val="en-US"/>
        </w:rPr>
      </w:pPr>
    </w:p>
    <w:p w:rsidR="00113399" w:rsidRDefault="00113399" w:rsidP="00A866D0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A GE PET-trace </w:t>
      </w:r>
      <w:r w:rsidR="00E56D3C">
        <w:rPr>
          <w:rFonts w:ascii="Calibri" w:hAnsi="Calibri"/>
          <w:lang w:val="en-US"/>
        </w:rPr>
        <w:t>cyclotron was used</w:t>
      </w:r>
      <w:r>
        <w:rPr>
          <w:rFonts w:ascii="Calibri" w:hAnsi="Calibri"/>
          <w:lang w:val="en-US"/>
        </w:rPr>
        <w:t xml:space="preserve"> to </w:t>
      </w:r>
      <w:r w:rsidR="00D707E1">
        <w:rPr>
          <w:rFonts w:ascii="Calibri" w:hAnsi="Calibri"/>
          <w:lang w:val="en-US"/>
        </w:rPr>
        <w:t xml:space="preserve">test </w:t>
      </w:r>
      <w:r w:rsidR="00D707E1">
        <w:rPr>
          <w:rFonts w:ascii="Calibri" w:hAnsi="Calibri"/>
          <w:vertAlign w:val="superscript"/>
          <w:lang w:val="en-US"/>
        </w:rPr>
        <w:t>nat</w:t>
      </w:r>
      <w:r w:rsidR="00D707E1">
        <w:rPr>
          <w:rFonts w:ascii="Calibri" w:hAnsi="Calibri"/>
          <w:lang w:val="en-US"/>
        </w:rPr>
        <w:t xml:space="preserve">Sn targets stability in </w:t>
      </w:r>
      <w:r>
        <w:rPr>
          <w:rFonts w:ascii="Calibri" w:hAnsi="Calibri"/>
          <w:lang w:val="en-US"/>
        </w:rPr>
        <w:t>beam</w:t>
      </w:r>
      <w:r w:rsidR="00EC264A">
        <w:rPr>
          <w:rFonts w:ascii="Calibri" w:hAnsi="Calibri"/>
          <w:lang w:val="en-US"/>
        </w:rPr>
        <w:t xml:space="preserve"> at 16 MeV and intensities up to </w:t>
      </w:r>
      <w:r w:rsidR="00842D3F">
        <w:rPr>
          <w:rFonts w:ascii="Calibri" w:hAnsi="Calibri"/>
          <w:lang w:val="en-US"/>
        </w:rPr>
        <w:t>4</w:t>
      </w:r>
      <w:r w:rsidR="00E56D3C">
        <w:rPr>
          <w:rFonts w:ascii="Calibri" w:hAnsi="Calibri"/>
          <w:lang w:val="en-US"/>
        </w:rPr>
        <w:t>0</w:t>
      </w:r>
      <w:r w:rsidR="00EC264A">
        <w:rPr>
          <w:rFonts w:ascii="Calibri" w:hAnsi="Calibri"/>
          <w:lang w:val="en-US"/>
        </w:rPr>
        <w:t xml:space="preserve"> µA</w:t>
      </w:r>
      <w:r>
        <w:rPr>
          <w:rFonts w:ascii="Calibri" w:hAnsi="Calibri"/>
          <w:lang w:val="en-US"/>
        </w:rPr>
        <w:t xml:space="preserve">. Post irradiation, targets were dissolved </w:t>
      </w:r>
      <w:r w:rsidR="00EC264A">
        <w:rPr>
          <w:rFonts w:ascii="Calibri" w:hAnsi="Calibri"/>
          <w:lang w:val="en-US"/>
        </w:rPr>
        <w:t>i</w:t>
      </w:r>
      <w:r w:rsidR="001A0164">
        <w:rPr>
          <w:rFonts w:ascii="Calibri" w:hAnsi="Calibri"/>
          <w:lang w:val="en-US"/>
        </w:rPr>
        <w:t>n</w:t>
      </w:r>
      <w:r w:rsidR="00EC264A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5 mL of 11 M HCl, and, with the addition of Isopropyl ether, a liquid-liquid radiochemical se</w:t>
      </w:r>
      <w:r w:rsidR="00E56D3C">
        <w:rPr>
          <w:rFonts w:ascii="Calibri" w:hAnsi="Calibri"/>
          <w:lang w:val="en-US"/>
        </w:rPr>
        <w:t>paration of Sb/Sn was performed.</w:t>
      </w:r>
      <w:r>
        <w:rPr>
          <w:rFonts w:ascii="Calibri" w:hAnsi="Calibri"/>
          <w:lang w:val="en-US"/>
        </w:rPr>
        <w:t xml:space="preserve"> Additional Sb/Sn chemical separations </w:t>
      </w:r>
      <w:r w:rsidR="00EC264A">
        <w:rPr>
          <w:rFonts w:ascii="Calibri" w:hAnsi="Calibri"/>
          <w:lang w:val="en-US"/>
        </w:rPr>
        <w:t>a</w:t>
      </w:r>
      <w:r w:rsidR="00F46A21">
        <w:rPr>
          <w:rFonts w:ascii="Calibri" w:hAnsi="Calibri"/>
          <w:lang w:val="en-US"/>
        </w:rPr>
        <w:t>r</w:t>
      </w:r>
      <w:r w:rsidR="00EC264A">
        <w:rPr>
          <w:rFonts w:ascii="Calibri" w:hAnsi="Calibri"/>
          <w:lang w:val="en-US"/>
        </w:rPr>
        <w:t xml:space="preserve">e being </w:t>
      </w:r>
      <w:r>
        <w:rPr>
          <w:rFonts w:ascii="Calibri" w:hAnsi="Calibri"/>
          <w:lang w:val="en-US"/>
        </w:rPr>
        <w:t>explored and testing of potential ligand chelators is in process.</w:t>
      </w:r>
    </w:p>
    <w:p w:rsidR="00CF796F" w:rsidRDefault="00CF796F" w:rsidP="00E24EE2">
      <w:pPr>
        <w:ind w:firstLine="708"/>
        <w:jc w:val="both"/>
        <w:rPr>
          <w:rFonts w:ascii="Calibri" w:hAnsi="Calibri"/>
          <w:lang w:val="en-US"/>
        </w:rPr>
      </w:pPr>
    </w:p>
    <w:p w:rsidR="00CF796F" w:rsidRDefault="00E85169" w:rsidP="000B7F85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noProof/>
          <w:lang w:val="en-US"/>
        </w:rPr>
        <w:lastRenderedPageBreak/>
        <w:drawing>
          <wp:inline distT="0" distB="0" distL="0" distR="0">
            <wp:extent cx="2526665" cy="20180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8-04-30 at 12.43.36 PM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DBC" w:rsidRDefault="00CF796F" w:rsidP="00CE61A9">
      <w:pPr>
        <w:spacing w:before="120"/>
        <w:jc w:val="both"/>
        <w:outlineLvl w:val="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smallCaps/>
          <w:lang w:val="en-US"/>
        </w:rPr>
        <w:t>Figure 1</w:t>
      </w:r>
      <w:r w:rsidRPr="00575FB1">
        <w:rPr>
          <w:rFonts w:ascii="Calibri" w:hAnsi="Calibri"/>
          <w:lang w:val="en-US"/>
        </w:rPr>
        <w:t xml:space="preserve">. </w:t>
      </w:r>
      <w:r w:rsidR="00333977">
        <w:rPr>
          <w:rFonts w:ascii="Calibri" w:hAnsi="Calibri"/>
          <w:lang w:val="en-US"/>
        </w:rPr>
        <w:t>E</w:t>
      </w:r>
      <w:r>
        <w:rPr>
          <w:rFonts w:ascii="Calibri" w:hAnsi="Calibri"/>
          <w:lang w:val="en-US"/>
        </w:rPr>
        <w:t>lectroplating chamber schematic</w:t>
      </w:r>
      <w:r w:rsidR="00333977">
        <w:rPr>
          <w:rFonts w:ascii="Calibri" w:hAnsi="Calibri"/>
          <w:lang w:val="en-US"/>
        </w:rPr>
        <w:t>.</w:t>
      </w:r>
    </w:p>
    <w:p w:rsidR="00113399" w:rsidRDefault="00113399" w:rsidP="00113399">
      <w:pPr>
        <w:spacing w:before="120"/>
        <w:jc w:val="both"/>
        <w:rPr>
          <w:rFonts w:ascii="Calibri" w:hAnsi="Calibri"/>
          <w:lang w:val="en-US"/>
        </w:rPr>
      </w:pPr>
    </w:p>
    <w:p w:rsidR="00E24EE2" w:rsidRDefault="00E24EE2" w:rsidP="000B7F85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With Sn dissolved in 11 M HCl, the solution was heated </w:t>
      </w:r>
      <w:r w:rsidR="006F1F48">
        <w:rPr>
          <w:rFonts w:ascii="Calibri" w:hAnsi="Calibri"/>
          <w:lang w:val="en-US"/>
        </w:rPr>
        <w:t xml:space="preserve">to temperatures greater than 70 </w:t>
      </w:r>
      <w:r w:rsidR="006F1F48">
        <w:rPr>
          <w:rFonts w:ascii="Calibri" w:hAnsi="Calibri"/>
          <w:lang w:val="en-US"/>
        </w:rPr>
        <w:sym w:font="Symbol" w:char="F0B0"/>
      </w:r>
      <w:r w:rsidR="006F1F48">
        <w:rPr>
          <w:rFonts w:ascii="Calibri" w:hAnsi="Calibri"/>
          <w:lang w:val="en-US"/>
        </w:rPr>
        <w:t>C</w:t>
      </w:r>
      <w:r>
        <w:rPr>
          <w:rFonts w:ascii="Calibri" w:hAnsi="Calibri"/>
          <w:lang w:val="en-US"/>
        </w:rPr>
        <w:t xml:space="preserve"> to remove ether contamination</w:t>
      </w:r>
      <w:r w:rsidR="006F1F48">
        <w:rPr>
          <w:rFonts w:ascii="Calibri" w:hAnsi="Calibri"/>
          <w:lang w:val="en-US"/>
        </w:rPr>
        <w:t>, a necessary step as reaction of ether with bath constituents causes oxidation of Sn</w:t>
      </w:r>
      <w:r w:rsidR="006F1F48" w:rsidRPr="006F1F48">
        <w:rPr>
          <w:rFonts w:ascii="Calibri" w:hAnsi="Calibri"/>
          <w:vertAlign w:val="superscript"/>
          <w:lang w:val="en-US"/>
        </w:rPr>
        <w:t>2+</w:t>
      </w:r>
      <w:r w:rsidR="006F1F48">
        <w:rPr>
          <w:rFonts w:ascii="Calibri" w:hAnsi="Calibri"/>
          <w:lang w:val="en-US"/>
        </w:rPr>
        <w:t xml:space="preserve"> to Sn</w:t>
      </w:r>
      <w:r w:rsidR="006F1F48" w:rsidRPr="006F1F48">
        <w:rPr>
          <w:rFonts w:ascii="Calibri" w:hAnsi="Calibri"/>
          <w:vertAlign w:val="superscript"/>
          <w:lang w:val="en-US"/>
        </w:rPr>
        <w:t>4+</w:t>
      </w:r>
      <w:r w:rsidR="006F1F48">
        <w:rPr>
          <w:rFonts w:ascii="Calibri" w:hAnsi="Calibri"/>
          <w:lang w:val="en-US"/>
        </w:rPr>
        <w:t xml:space="preserve"> as observed by precipitation of dark solid.</w:t>
      </w:r>
      <w:r>
        <w:rPr>
          <w:rFonts w:ascii="Calibri" w:hAnsi="Calibri"/>
          <w:lang w:val="en-US"/>
        </w:rPr>
        <w:t xml:space="preserve"> </w:t>
      </w:r>
      <w:r w:rsidR="006F1F48">
        <w:rPr>
          <w:rFonts w:ascii="Calibri" w:hAnsi="Calibri"/>
          <w:lang w:val="en-US"/>
        </w:rPr>
        <w:t>After ether removal, solution is</w:t>
      </w:r>
      <w:r>
        <w:rPr>
          <w:rFonts w:ascii="Calibri" w:hAnsi="Calibri"/>
          <w:lang w:val="en-US"/>
        </w:rPr>
        <w:t xml:space="preserve"> </w:t>
      </w:r>
      <w:r w:rsidRPr="003A7D69">
        <w:rPr>
          <w:rFonts w:ascii="Calibri" w:hAnsi="Calibri"/>
          <w:lang w:val="en-US"/>
        </w:rPr>
        <w:t>neutralized</w:t>
      </w:r>
      <w:r>
        <w:rPr>
          <w:rFonts w:ascii="Calibri" w:hAnsi="Calibri"/>
          <w:lang w:val="en-US"/>
        </w:rPr>
        <w:t xml:space="preserve"> in order to precipitate out Sn</w:t>
      </w:r>
      <w:r w:rsidR="001A0164">
        <w:rPr>
          <w:rFonts w:ascii="Calibri" w:hAnsi="Calibri"/>
          <w:lang w:val="en-US"/>
        </w:rPr>
        <w:t>(</w:t>
      </w:r>
      <w:r>
        <w:rPr>
          <w:rFonts w:ascii="Calibri" w:hAnsi="Calibri"/>
          <w:lang w:val="en-US"/>
        </w:rPr>
        <w:t>OH</w:t>
      </w:r>
      <w:r w:rsidR="001A0164">
        <w:rPr>
          <w:rFonts w:ascii="Calibri" w:hAnsi="Calibri"/>
          <w:lang w:val="en-US"/>
        </w:rPr>
        <w:t>)</w:t>
      </w:r>
      <w:r w:rsidRPr="00E24EE2">
        <w:rPr>
          <w:rFonts w:ascii="Calibri" w:hAnsi="Calibri"/>
          <w:vertAlign w:val="subscript"/>
          <w:lang w:val="en-US"/>
        </w:rPr>
        <w:t>2</w:t>
      </w:r>
      <w:r>
        <w:rPr>
          <w:rFonts w:ascii="Calibri" w:hAnsi="Calibri"/>
          <w:lang w:val="en-US"/>
        </w:rPr>
        <w:t>. The solid was centrifuged out and dissolved in concentrated H</w:t>
      </w:r>
      <w:r w:rsidRPr="00E24EE2">
        <w:rPr>
          <w:rFonts w:ascii="Calibri" w:hAnsi="Calibri"/>
          <w:vertAlign w:val="subscript"/>
          <w:lang w:val="en-US"/>
        </w:rPr>
        <w:t>2</w:t>
      </w:r>
      <w:r>
        <w:rPr>
          <w:rFonts w:ascii="Calibri" w:hAnsi="Calibri"/>
          <w:lang w:val="en-US"/>
        </w:rPr>
        <w:t>SO</w:t>
      </w:r>
      <w:r w:rsidRPr="00E24EE2">
        <w:rPr>
          <w:rFonts w:ascii="Calibri" w:hAnsi="Calibri"/>
          <w:vertAlign w:val="subscript"/>
          <w:lang w:val="en-US"/>
        </w:rPr>
        <w:t>4</w:t>
      </w:r>
      <w:r>
        <w:rPr>
          <w:rFonts w:ascii="Calibri" w:hAnsi="Calibri"/>
          <w:lang w:val="en-US"/>
        </w:rPr>
        <w:t xml:space="preserve"> </w:t>
      </w:r>
      <w:r w:rsidR="00EC264A">
        <w:rPr>
          <w:rFonts w:ascii="Calibri" w:hAnsi="Calibri"/>
          <w:lang w:val="en-US"/>
        </w:rPr>
        <w:t xml:space="preserve">for </w:t>
      </w:r>
      <w:r w:rsidR="00763E2A">
        <w:rPr>
          <w:rFonts w:ascii="Calibri" w:hAnsi="Calibri"/>
          <w:lang w:val="en-US"/>
        </w:rPr>
        <w:t>subsequent electrodeposition</w:t>
      </w:r>
      <w:r w:rsidR="00EC264A">
        <w:rPr>
          <w:rFonts w:ascii="Calibri" w:hAnsi="Calibri"/>
          <w:lang w:val="en-US"/>
        </w:rPr>
        <w:t xml:space="preserve">, effectively recycling the </w:t>
      </w:r>
      <w:r w:rsidR="00EC264A">
        <w:rPr>
          <w:rFonts w:ascii="Calibri" w:hAnsi="Calibri"/>
          <w:vertAlign w:val="superscript"/>
          <w:lang w:val="en-US"/>
        </w:rPr>
        <w:t>nat</w:t>
      </w:r>
      <w:r w:rsidR="00EC264A">
        <w:rPr>
          <w:rFonts w:ascii="Calibri" w:hAnsi="Calibri"/>
          <w:lang w:val="en-US"/>
        </w:rPr>
        <w:t>Sn</w:t>
      </w:r>
      <w:r>
        <w:rPr>
          <w:rFonts w:ascii="Calibri" w:hAnsi="Calibri"/>
          <w:lang w:val="en-US"/>
        </w:rPr>
        <w:t>.</w:t>
      </w:r>
    </w:p>
    <w:p w:rsidR="00E24EE2" w:rsidRPr="00575FB1" w:rsidRDefault="00E24EE2" w:rsidP="000B7F85">
      <w:pPr>
        <w:jc w:val="both"/>
        <w:rPr>
          <w:rFonts w:ascii="Calibri" w:hAnsi="Calibri"/>
          <w:lang w:val="en-US"/>
        </w:rPr>
      </w:pPr>
    </w:p>
    <w:p w:rsidR="00A9239E" w:rsidRPr="00575FB1" w:rsidRDefault="00A9239E" w:rsidP="00CE61A9">
      <w:pPr>
        <w:jc w:val="both"/>
        <w:outlineLvl w:val="0"/>
        <w:rPr>
          <w:rFonts w:ascii="Calibri" w:hAnsi="Calibri"/>
          <w:b/>
          <w:sz w:val="22"/>
          <w:szCs w:val="22"/>
          <w:lang w:val="en-US"/>
        </w:rPr>
      </w:pPr>
      <w:r w:rsidRPr="00575FB1">
        <w:rPr>
          <w:rFonts w:ascii="Calibri" w:hAnsi="Calibri"/>
          <w:b/>
          <w:lang w:val="en-US"/>
        </w:rPr>
        <w:t>Results</w:t>
      </w:r>
    </w:p>
    <w:p w:rsidR="00A9239E" w:rsidRDefault="00E34872" w:rsidP="00A866D0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Dense, thermally conductive </w:t>
      </w:r>
      <w:r w:rsidR="00EC264A">
        <w:rPr>
          <w:rFonts w:ascii="Calibri" w:hAnsi="Calibri"/>
          <w:vertAlign w:val="superscript"/>
          <w:lang w:val="en-US"/>
        </w:rPr>
        <w:t>nat</w:t>
      </w:r>
      <w:r>
        <w:rPr>
          <w:rFonts w:ascii="Calibri" w:hAnsi="Calibri"/>
          <w:lang w:val="en-US"/>
        </w:rPr>
        <w:t>Sn targets for proton irradiation were successfully created using a simple ele</w:t>
      </w:r>
      <w:r w:rsidR="00311264">
        <w:rPr>
          <w:rFonts w:ascii="Calibri" w:hAnsi="Calibri"/>
          <w:lang w:val="en-US"/>
        </w:rPr>
        <w:t xml:space="preserve">ctrodeposition technique. Two such targets are shown within Figure 3, with 20x optical magnification accompanying each </w:t>
      </w:r>
      <w:r w:rsidR="00A876A7">
        <w:rPr>
          <w:rFonts w:ascii="Calibri" w:hAnsi="Calibri"/>
          <w:lang w:val="en-US"/>
        </w:rPr>
        <w:t xml:space="preserve">target </w:t>
      </w:r>
      <w:r w:rsidR="00311264">
        <w:rPr>
          <w:rFonts w:ascii="Calibri" w:hAnsi="Calibri"/>
          <w:lang w:val="en-US"/>
        </w:rPr>
        <w:t xml:space="preserve">image. </w:t>
      </w:r>
      <w:r w:rsidR="00EC264A">
        <w:rPr>
          <w:rFonts w:ascii="Calibri" w:hAnsi="Calibri"/>
          <w:lang w:val="en-US"/>
        </w:rPr>
        <w:t xml:space="preserve">Good </w:t>
      </w:r>
      <w:r w:rsidR="00311264">
        <w:rPr>
          <w:rFonts w:ascii="Calibri" w:hAnsi="Calibri"/>
          <w:lang w:val="en-US"/>
        </w:rPr>
        <w:t xml:space="preserve">surface uniformity has been achieved </w:t>
      </w:r>
      <w:r w:rsidR="00EC264A">
        <w:rPr>
          <w:rFonts w:ascii="Calibri" w:hAnsi="Calibri"/>
          <w:lang w:val="en-US"/>
        </w:rPr>
        <w:t>in these</w:t>
      </w:r>
      <w:r w:rsidR="00311264">
        <w:rPr>
          <w:rFonts w:ascii="Calibri" w:hAnsi="Calibri"/>
          <w:lang w:val="en-US"/>
        </w:rPr>
        <w:t xml:space="preserve"> deposition</w:t>
      </w:r>
      <w:r w:rsidR="00EC264A">
        <w:rPr>
          <w:rFonts w:ascii="Calibri" w:hAnsi="Calibri"/>
          <w:lang w:val="en-US"/>
        </w:rPr>
        <w:t>s</w:t>
      </w:r>
      <w:r w:rsidR="00311264">
        <w:rPr>
          <w:rFonts w:ascii="Calibri" w:hAnsi="Calibri"/>
          <w:lang w:val="en-US"/>
        </w:rPr>
        <w:t xml:space="preserve"> of </w:t>
      </w:r>
      <w:r w:rsidR="00A876A7">
        <w:rPr>
          <w:rFonts w:ascii="Calibri" w:hAnsi="Calibri"/>
          <w:lang w:val="en-US"/>
        </w:rPr>
        <w:t xml:space="preserve">&gt;300 mg of </w:t>
      </w:r>
      <w:r w:rsidR="00311264">
        <w:rPr>
          <w:rFonts w:ascii="Calibri" w:hAnsi="Calibri"/>
          <w:lang w:val="en-US"/>
        </w:rPr>
        <w:t xml:space="preserve">metallic species </w:t>
      </w:r>
      <w:r w:rsidR="00EC264A">
        <w:rPr>
          <w:rFonts w:ascii="Calibri" w:hAnsi="Calibri"/>
          <w:lang w:val="en-US"/>
        </w:rPr>
        <w:t>tin</w:t>
      </w:r>
      <w:r w:rsidR="00311264">
        <w:rPr>
          <w:rFonts w:ascii="Calibri" w:hAnsi="Calibri"/>
          <w:lang w:val="en-US"/>
        </w:rPr>
        <w:t>.</w:t>
      </w:r>
    </w:p>
    <w:p w:rsidR="005632A1" w:rsidRPr="00575FB1" w:rsidRDefault="005632A1" w:rsidP="00A866D0">
      <w:pPr>
        <w:jc w:val="both"/>
        <w:rPr>
          <w:rFonts w:ascii="Calibri" w:hAnsi="Calibri"/>
          <w:lang w:val="en-US"/>
        </w:rPr>
      </w:pPr>
    </w:p>
    <w:p w:rsidR="00311264" w:rsidRDefault="005632A1" w:rsidP="000B7F85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noProof/>
          <w:lang w:val="en-US"/>
        </w:rPr>
        <w:drawing>
          <wp:inline distT="0" distB="0" distL="0" distR="0">
            <wp:extent cx="2526665" cy="260350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urbyfou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264" w:rsidRDefault="00311264" w:rsidP="000B7F85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smallCaps/>
          <w:lang w:val="en-US"/>
        </w:rPr>
        <w:t>Figure 3</w:t>
      </w:r>
      <w:r w:rsidRPr="00575FB1">
        <w:rPr>
          <w:rFonts w:ascii="Calibri" w:hAnsi="Calibri"/>
          <w:lang w:val="en-US"/>
        </w:rPr>
        <w:t xml:space="preserve">. </w:t>
      </w:r>
      <w:r>
        <w:rPr>
          <w:rFonts w:ascii="Calibri" w:hAnsi="Calibri"/>
          <w:lang w:val="en-US"/>
        </w:rPr>
        <w:t xml:space="preserve">Two </w:t>
      </w:r>
      <w:r w:rsidR="00EC264A">
        <w:rPr>
          <w:rFonts w:ascii="Calibri" w:hAnsi="Calibri"/>
          <w:vertAlign w:val="superscript"/>
          <w:lang w:val="en-US"/>
        </w:rPr>
        <w:t>nat</w:t>
      </w:r>
      <w:r>
        <w:rPr>
          <w:rFonts w:ascii="Calibri" w:hAnsi="Calibri"/>
          <w:lang w:val="en-US"/>
        </w:rPr>
        <w:t xml:space="preserve">Sn cyclotron targets with 20x magnified surface images shown below </w:t>
      </w:r>
      <w:r w:rsidR="00EC264A">
        <w:rPr>
          <w:rFonts w:ascii="Calibri" w:hAnsi="Calibri"/>
          <w:lang w:val="en-US"/>
        </w:rPr>
        <w:t xml:space="preserve">their </w:t>
      </w:r>
      <w:r>
        <w:rPr>
          <w:rFonts w:ascii="Calibri" w:hAnsi="Calibri"/>
          <w:lang w:val="en-US"/>
        </w:rPr>
        <w:t>corresponding target image.</w:t>
      </w:r>
    </w:p>
    <w:p w:rsidR="00311264" w:rsidRDefault="00311264" w:rsidP="000B7F85">
      <w:pPr>
        <w:jc w:val="both"/>
        <w:rPr>
          <w:rFonts w:ascii="Calibri" w:hAnsi="Calibri"/>
          <w:lang w:val="en-US"/>
        </w:rPr>
      </w:pPr>
    </w:p>
    <w:p w:rsidR="00311264" w:rsidRDefault="00311264" w:rsidP="00A866D0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Electrodeposition of </w:t>
      </w:r>
      <w:r w:rsidR="00EC264A">
        <w:rPr>
          <w:rFonts w:ascii="Calibri" w:hAnsi="Calibri"/>
          <w:lang w:val="en-US"/>
        </w:rPr>
        <w:t xml:space="preserve">tin </w:t>
      </w:r>
      <w:r>
        <w:rPr>
          <w:rFonts w:ascii="Calibri" w:hAnsi="Calibri"/>
          <w:lang w:val="en-US"/>
        </w:rPr>
        <w:t xml:space="preserve">mass from solution was recorded in time and plotted within Figure 4. It is observed that </w:t>
      </w:r>
      <w:r w:rsidR="00EC264A">
        <w:rPr>
          <w:rFonts w:ascii="Calibri" w:hAnsi="Calibri"/>
          <w:lang w:val="en-US"/>
        </w:rPr>
        <w:t>&gt;90%</w:t>
      </w:r>
      <w:r>
        <w:rPr>
          <w:rFonts w:ascii="Calibri" w:hAnsi="Calibri"/>
          <w:lang w:val="en-US"/>
        </w:rPr>
        <w:t xml:space="preserve"> of the </w:t>
      </w:r>
      <w:r w:rsidR="00EC264A">
        <w:rPr>
          <w:rFonts w:ascii="Calibri" w:hAnsi="Calibri"/>
          <w:lang w:val="en-US"/>
        </w:rPr>
        <w:t>dissolved tin</w:t>
      </w:r>
      <w:r>
        <w:rPr>
          <w:rFonts w:ascii="Calibri" w:hAnsi="Calibri"/>
          <w:lang w:val="en-US"/>
        </w:rPr>
        <w:t xml:space="preserve"> is plated within the first 5 hours of electrodeposition .</w:t>
      </w:r>
    </w:p>
    <w:p w:rsidR="00DF1B3C" w:rsidRPr="00575FB1" w:rsidRDefault="00DF1B3C" w:rsidP="000B7F85">
      <w:pPr>
        <w:jc w:val="both"/>
        <w:rPr>
          <w:rFonts w:ascii="Calibri" w:hAnsi="Calibri"/>
          <w:lang w:val="en-US"/>
        </w:rPr>
      </w:pPr>
    </w:p>
    <w:p w:rsidR="00DF1B3C" w:rsidRPr="00575FB1" w:rsidRDefault="00E85169" w:rsidP="000B7F85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noProof/>
          <w:lang w:val="en-US"/>
        </w:rPr>
        <w:drawing>
          <wp:inline distT="0" distB="0" distL="0" distR="0">
            <wp:extent cx="2526665" cy="17443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8-04-30 at 1.00.39 PM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264" w:rsidRDefault="00311264" w:rsidP="00311264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smallCaps/>
          <w:lang w:val="en-US"/>
        </w:rPr>
        <w:t>Figure 4</w:t>
      </w:r>
      <w:r w:rsidRPr="00575FB1">
        <w:rPr>
          <w:rFonts w:ascii="Calibri" w:hAnsi="Calibri"/>
          <w:lang w:val="en-US"/>
        </w:rPr>
        <w:t xml:space="preserve">. </w:t>
      </w:r>
      <w:r>
        <w:rPr>
          <w:rFonts w:ascii="Calibri" w:hAnsi="Calibri"/>
          <w:lang w:val="en-US"/>
        </w:rPr>
        <w:t xml:space="preserve">Sn deposition from simple sulfuric acid bath </w:t>
      </w:r>
      <w:r w:rsidR="00333977">
        <w:rPr>
          <w:rFonts w:ascii="Calibri" w:hAnsi="Calibri"/>
          <w:lang w:val="en-US"/>
        </w:rPr>
        <w:t xml:space="preserve">vs </w:t>
      </w:r>
      <w:r>
        <w:rPr>
          <w:rFonts w:ascii="Calibri" w:hAnsi="Calibri"/>
          <w:lang w:val="en-US"/>
        </w:rPr>
        <w:t>time.</w:t>
      </w:r>
    </w:p>
    <w:p w:rsidR="00657634" w:rsidRDefault="00657634" w:rsidP="00311264">
      <w:pPr>
        <w:jc w:val="both"/>
        <w:rPr>
          <w:rFonts w:ascii="Calibri" w:hAnsi="Calibri"/>
          <w:lang w:val="en-US"/>
        </w:rPr>
      </w:pPr>
    </w:p>
    <w:p w:rsidR="00657634" w:rsidRDefault="00657634" w:rsidP="00A866D0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Sn targets </w:t>
      </w:r>
      <w:r w:rsidR="00333977">
        <w:rPr>
          <w:rFonts w:ascii="Calibri" w:hAnsi="Calibri"/>
          <w:lang w:val="en-US"/>
        </w:rPr>
        <w:t xml:space="preserve">withstood </w:t>
      </w:r>
      <w:r>
        <w:rPr>
          <w:rFonts w:ascii="Calibri" w:hAnsi="Calibri"/>
          <w:lang w:val="en-US"/>
        </w:rPr>
        <w:t xml:space="preserve">16 MeV proton irradiation at currents </w:t>
      </w:r>
      <w:r w:rsidR="006F1F48">
        <w:rPr>
          <w:rFonts w:ascii="Calibri" w:hAnsi="Calibri"/>
          <w:lang w:val="en-US"/>
        </w:rPr>
        <w:t>of 4</w:t>
      </w:r>
      <w:r w:rsidRPr="00333977">
        <w:rPr>
          <w:rFonts w:ascii="Calibri" w:hAnsi="Calibri"/>
          <w:lang w:val="en-US"/>
        </w:rPr>
        <w:t xml:space="preserve">0 </w:t>
      </w:r>
      <w:r w:rsidR="005257BE">
        <w:rPr>
          <w:rFonts w:ascii="Calibri" w:hAnsi="Calibri"/>
          <w:bCs/>
          <w:lang w:val="en-US"/>
        </w:rPr>
        <w:t>µA showing</w:t>
      </w:r>
      <w:r w:rsidRPr="008B3730">
        <w:rPr>
          <w:rFonts w:ascii="Calibri" w:hAnsi="Calibri"/>
          <w:bCs/>
          <w:lang w:val="en-US"/>
        </w:rPr>
        <w:t xml:space="preserve"> </w:t>
      </w:r>
      <w:r w:rsidR="00A866D0" w:rsidRPr="008B3730">
        <w:rPr>
          <w:rFonts w:ascii="Calibri" w:hAnsi="Calibri"/>
          <w:bCs/>
          <w:lang w:val="en-US"/>
        </w:rPr>
        <w:t xml:space="preserve">physical </w:t>
      </w:r>
      <w:r w:rsidRPr="008B3730">
        <w:rPr>
          <w:rFonts w:ascii="Calibri" w:hAnsi="Calibri"/>
          <w:bCs/>
          <w:lang w:val="en-US"/>
        </w:rPr>
        <w:t>deformations</w:t>
      </w:r>
      <w:r w:rsidR="00A866D0" w:rsidRPr="008B3730">
        <w:rPr>
          <w:rFonts w:ascii="Calibri" w:hAnsi="Calibri"/>
          <w:bCs/>
          <w:lang w:val="en-US"/>
        </w:rPr>
        <w:t xml:space="preserve"> </w:t>
      </w:r>
      <w:r w:rsidR="005257BE">
        <w:rPr>
          <w:rFonts w:ascii="Calibri" w:hAnsi="Calibri"/>
          <w:bCs/>
          <w:lang w:val="en-US"/>
        </w:rPr>
        <w:t xml:space="preserve">depicted </w:t>
      </w:r>
      <w:r w:rsidR="00A866D0" w:rsidRPr="008B3730">
        <w:rPr>
          <w:rFonts w:ascii="Calibri" w:hAnsi="Calibri"/>
          <w:bCs/>
          <w:lang w:val="en-US"/>
        </w:rPr>
        <w:t>in Figure 5.</w:t>
      </w:r>
      <w:r w:rsidR="006F1F48">
        <w:rPr>
          <w:rFonts w:ascii="Calibri" w:hAnsi="Calibri"/>
          <w:bCs/>
          <w:lang w:val="en-US"/>
        </w:rPr>
        <w:t xml:space="preserve"> Characterization of the tin recycling efficiency through the tin plating and chemical isolation process is ongoing.</w:t>
      </w:r>
    </w:p>
    <w:p w:rsidR="00DF1B3C" w:rsidRPr="00575FB1" w:rsidRDefault="00DF1B3C" w:rsidP="000B7F85">
      <w:pPr>
        <w:jc w:val="both"/>
        <w:rPr>
          <w:rFonts w:ascii="Calibri" w:hAnsi="Calibri"/>
          <w:lang w:val="en-US"/>
        </w:rPr>
      </w:pPr>
    </w:p>
    <w:p w:rsidR="00DF1B3C" w:rsidRDefault="00547584" w:rsidP="000B7F85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noProof/>
          <w:lang w:val="en-US"/>
        </w:rPr>
        <w:drawing>
          <wp:inline distT="0" distB="0" distL="0" distR="0">
            <wp:extent cx="2526665" cy="1330325"/>
            <wp:effectExtent l="0" t="0" r="63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in_pretty_small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634" w:rsidRDefault="00657634" w:rsidP="00657634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smallCaps/>
          <w:lang w:val="en-US"/>
        </w:rPr>
        <w:t>Figure 5</w:t>
      </w:r>
      <w:r w:rsidRPr="00575FB1">
        <w:rPr>
          <w:rFonts w:ascii="Calibri" w:hAnsi="Calibri"/>
          <w:lang w:val="en-US"/>
        </w:rPr>
        <w:t xml:space="preserve">. </w:t>
      </w:r>
      <w:r w:rsidR="005257BE">
        <w:rPr>
          <w:rFonts w:ascii="Calibri" w:hAnsi="Calibri"/>
          <w:lang w:val="en-US"/>
        </w:rPr>
        <w:t>~23</w:t>
      </w:r>
      <w:r w:rsidR="00A866D0">
        <w:rPr>
          <w:rFonts w:ascii="Calibri" w:hAnsi="Calibri"/>
          <w:lang w:val="en-US"/>
        </w:rPr>
        <w:t xml:space="preserve">0 mg Sn target </w:t>
      </w:r>
      <w:r w:rsidR="005257BE">
        <w:rPr>
          <w:rFonts w:ascii="Calibri" w:hAnsi="Calibri"/>
          <w:lang w:val="en-US"/>
        </w:rPr>
        <w:t xml:space="preserve">within Al target mounting </w:t>
      </w:r>
      <w:r w:rsidR="00A866D0">
        <w:rPr>
          <w:rFonts w:ascii="Calibri" w:hAnsi="Calibri"/>
          <w:lang w:val="en-US"/>
        </w:rPr>
        <w:t>before and after proton i</w:t>
      </w:r>
      <w:r w:rsidR="005257BE">
        <w:rPr>
          <w:rFonts w:ascii="Calibri" w:hAnsi="Calibri"/>
          <w:lang w:val="en-US"/>
        </w:rPr>
        <w:t>rradiation.</w:t>
      </w:r>
    </w:p>
    <w:p w:rsidR="00657634" w:rsidRDefault="00657634" w:rsidP="000B7F85">
      <w:pPr>
        <w:jc w:val="both"/>
        <w:rPr>
          <w:rFonts w:ascii="Calibri" w:hAnsi="Calibri"/>
          <w:lang w:val="en-US"/>
        </w:rPr>
      </w:pPr>
    </w:p>
    <w:p w:rsidR="00DE71F3" w:rsidRDefault="00DE71F3" w:rsidP="00CE61A9">
      <w:pPr>
        <w:jc w:val="both"/>
        <w:outlineLvl w:val="0"/>
        <w:rPr>
          <w:rFonts w:ascii="Calibri" w:hAnsi="Calibri"/>
          <w:lang w:val="en-US"/>
        </w:rPr>
      </w:pPr>
      <w:r w:rsidRPr="00575FB1">
        <w:rPr>
          <w:rFonts w:ascii="Calibri" w:hAnsi="Calibri"/>
          <w:b/>
          <w:lang w:val="en-US"/>
        </w:rPr>
        <w:t>Conclusion</w:t>
      </w:r>
    </w:p>
    <w:p w:rsidR="00DF1B3C" w:rsidRPr="00575FB1" w:rsidRDefault="0071353A" w:rsidP="000B7F85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Production of the </w:t>
      </w:r>
      <w:r w:rsidR="00E500E1">
        <w:rPr>
          <w:rFonts w:ascii="Calibri" w:hAnsi="Calibri"/>
          <w:lang w:val="en-US"/>
        </w:rPr>
        <w:t>A</w:t>
      </w:r>
      <w:r>
        <w:rPr>
          <w:rFonts w:ascii="Calibri" w:hAnsi="Calibri"/>
          <w:lang w:val="en-US"/>
        </w:rPr>
        <w:t>uger</w:t>
      </w:r>
      <w:r w:rsidR="00E500E1">
        <w:rPr>
          <w:rFonts w:ascii="Calibri" w:hAnsi="Calibri"/>
          <w:lang w:val="en-US"/>
        </w:rPr>
        <w:t>-</w:t>
      </w:r>
      <w:r>
        <w:rPr>
          <w:rFonts w:ascii="Calibri" w:hAnsi="Calibri"/>
          <w:lang w:val="en-US"/>
        </w:rPr>
        <w:t xml:space="preserve">emitting radionuclide </w:t>
      </w:r>
      <w:r w:rsidRPr="0071353A">
        <w:rPr>
          <w:rFonts w:ascii="Calibri" w:hAnsi="Calibri"/>
          <w:vertAlign w:val="superscript"/>
          <w:lang w:val="en-US"/>
        </w:rPr>
        <w:t>119</w:t>
      </w:r>
      <w:r>
        <w:rPr>
          <w:rFonts w:ascii="Calibri" w:hAnsi="Calibri"/>
          <w:lang w:val="en-US"/>
        </w:rPr>
        <w:t xml:space="preserve">Sb </w:t>
      </w:r>
      <w:r w:rsidR="00E500E1">
        <w:rPr>
          <w:rFonts w:ascii="Calibri" w:hAnsi="Calibri"/>
          <w:lang w:val="en-US"/>
        </w:rPr>
        <w:t xml:space="preserve">by </w:t>
      </w:r>
      <w:r>
        <w:rPr>
          <w:rFonts w:ascii="Calibri" w:hAnsi="Calibri"/>
          <w:lang w:val="en-US"/>
        </w:rPr>
        <w:t xml:space="preserve">proton irradiation </w:t>
      </w:r>
      <w:r w:rsidR="00E500E1">
        <w:rPr>
          <w:rFonts w:ascii="Calibri" w:hAnsi="Calibri"/>
          <w:lang w:val="en-US"/>
        </w:rPr>
        <w:t xml:space="preserve">of tin targets on </w:t>
      </w:r>
      <w:r>
        <w:rPr>
          <w:rFonts w:ascii="Calibri" w:hAnsi="Calibri"/>
          <w:lang w:val="en-US"/>
        </w:rPr>
        <w:t xml:space="preserve">small medical cyclotrons </w:t>
      </w:r>
      <w:r w:rsidR="00E500E1">
        <w:rPr>
          <w:rFonts w:ascii="Calibri" w:hAnsi="Calibri"/>
          <w:lang w:val="en-US"/>
        </w:rPr>
        <w:t>offers a</w:t>
      </w:r>
      <w:r>
        <w:rPr>
          <w:rFonts w:ascii="Calibri" w:hAnsi="Calibri"/>
          <w:lang w:val="en-US"/>
        </w:rPr>
        <w:t xml:space="preserve"> scalable route </w:t>
      </w:r>
      <w:r w:rsidR="00E500E1">
        <w:rPr>
          <w:rFonts w:ascii="Calibri" w:hAnsi="Calibri"/>
          <w:lang w:val="en-US"/>
        </w:rPr>
        <w:t>to therapeutically relevant quantities and supplies for preclinical experiments</w:t>
      </w:r>
      <w:r>
        <w:rPr>
          <w:rFonts w:ascii="Calibri" w:hAnsi="Calibri"/>
          <w:lang w:val="en-US"/>
        </w:rPr>
        <w:t xml:space="preserve">. </w:t>
      </w:r>
      <w:r w:rsidR="00257FEA">
        <w:rPr>
          <w:rFonts w:ascii="Calibri" w:hAnsi="Calibri"/>
          <w:lang w:val="en-US"/>
        </w:rPr>
        <w:t>The necessary use of</w:t>
      </w:r>
      <w:r>
        <w:rPr>
          <w:rFonts w:ascii="Calibri" w:hAnsi="Calibri"/>
          <w:lang w:val="en-US"/>
        </w:rPr>
        <w:t xml:space="preserve"> enriched material </w:t>
      </w:r>
      <w:r w:rsidR="00E500E1">
        <w:rPr>
          <w:rFonts w:ascii="Calibri" w:hAnsi="Calibri"/>
          <w:lang w:val="en-US"/>
        </w:rPr>
        <w:t>will</w:t>
      </w:r>
      <w:r>
        <w:rPr>
          <w:rFonts w:ascii="Calibri" w:hAnsi="Calibri"/>
          <w:lang w:val="en-US"/>
        </w:rPr>
        <w:t xml:space="preserve"> require</w:t>
      </w:r>
      <w:r w:rsidR="00E500E1">
        <w:rPr>
          <w:rFonts w:ascii="Calibri" w:hAnsi="Calibri"/>
          <w:lang w:val="en-US"/>
        </w:rPr>
        <w:t xml:space="preserve"> a</w:t>
      </w:r>
      <w:r>
        <w:rPr>
          <w:rFonts w:ascii="Calibri" w:hAnsi="Calibri"/>
          <w:lang w:val="en-US"/>
        </w:rPr>
        <w:t xml:space="preserve"> dependable </w:t>
      </w:r>
      <w:r w:rsidR="00E500E1">
        <w:rPr>
          <w:rFonts w:ascii="Calibri" w:hAnsi="Calibri"/>
          <w:lang w:val="en-US"/>
        </w:rPr>
        <w:t xml:space="preserve">tin </w:t>
      </w:r>
      <w:r>
        <w:rPr>
          <w:rFonts w:ascii="Calibri" w:hAnsi="Calibri"/>
          <w:lang w:val="en-US"/>
        </w:rPr>
        <w:t xml:space="preserve">reclamation process. </w:t>
      </w:r>
      <w:r w:rsidR="00E500E1">
        <w:rPr>
          <w:rFonts w:ascii="Calibri" w:hAnsi="Calibri"/>
          <w:lang w:val="en-US"/>
        </w:rPr>
        <w:t>This work achieves</w:t>
      </w:r>
      <w:r>
        <w:rPr>
          <w:rFonts w:ascii="Calibri" w:hAnsi="Calibri"/>
          <w:lang w:val="en-US"/>
        </w:rPr>
        <w:t xml:space="preserve"> e</w:t>
      </w:r>
      <w:r w:rsidR="00601768">
        <w:rPr>
          <w:rFonts w:ascii="Calibri" w:hAnsi="Calibri"/>
          <w:lang w:val="en-US"/>
        </w:rPr>
        <w:t xml:space="preserve">lectrodeposition of </w:t>
      </w:r>
      <w:r w:rsidR="00E500E1">
        <w:rPr>
          <w:rFonts w:ascii="Calibri" w:hAnsi="Calibri"/>
          <w:lang w:val="en-US"/>
        </w:rPr>
        <w:t xml:space="preserve">durable </w:t>
      </w:r>
      <w:r w:rsidR="00E500E1">
        <w:rPr>
          <w:rFonts w:ascii="Calibri" w:hAnsi="Calibri"/>
          <w:vertAlign w:val="superscript"/>
          <w:lang w:val="en-US"/>
        </w:rPr>
        <w:t>nat</w:t>
      </w:r>
      <w:r w:rsidR="00601768">
        <w:rPr>
          <w:rFonts w:ascii="Calibri" w:hAnsi="Calibri"/>
          <w:lang w:val="en-US"/>
        </w:rPr>
        <w:t>Sn targets</w:t>
      </w:r>
      <w:r w:rsidR="00E500E1">
        <w:rPr>
          <w:rFonts w:ascii="Calibri" w:hAnsi="Calibri"/>
          <w:lang w:val="en-US"/>
        </w:rPr>
        <w:t xml:space="preserve"> and recovery of irradiated </w:t>
      </w:r>
      <w:r w:rsidR="00E500E1">
        <w:rPr>
          <w:rFonts w:ascii="Calibri" w:hAnsi="Calibri"/>
          <w:vertAlign w:val="superscript"/>
          <w:lang w:val="en-US"/>
        </w:rPr>
        <w:t>nat</w:t>
      </w:r>
      <w:r w:rsidR="00E500E1">
        <w:rPr>
          <w:rFonts w:ascii="Calibri" w:hAnsi="Calibri"/>
          <w:lang w:val="en-US"/>
        </w:rPr>
        <w:t>Sn following irradiation</w:t>
      </w:r>
      <w:r w:rsidR="00646945">
        <w:rPr>
          <w:rFonts w:ascii="Calibri" w:hAnsi="Calibri"/>
          <w:lang w:val="en-US"/>
        </w:rPr>
        <w:t>.</w:t>
      </w:r>
      <w:r w:rsidR="004014A8">
        <w:rPr>
          <w:rFonts w:ascii="Calibri" w:hAnsi="Calibri"/>
          <w:lang w:val="en-US"/>
        </w:rPr>
        <w:t xml:space="preserve"> Future work will </w:t>
      </w:r>
      <w:r>
        <w:rPr>
          <w:rFonts w:ascii="Calibri" w:hAnsi="Calibri"/>
          <w:lang w:val="en-US"/>
        </w:rPr>
        <w:t>continue to optimize the process, explore alternative separation chemistries, and survey potential chelation ligand candidates.</w:t>
      </w:r>
    </w:p>
    <w:p w:rsidR="00F14614" w:rsidRPr="00575FB1" w:rsidRDefault="00F14614" w:rsidP="000B7F85">
      <w:pPr>
        <w:jc w:val="both"/>
        <w:rPr>
          <w:rFonts w:ascii="Calibri" w:hAnsi="Calibri"/>
          <w:lang w:val="en-US"/>
        </w:rPr>
      </w:pPr>
    </w:p>
    <w:p w:rsidR="00A9239E" w:rsidRPr="00575FB1" w:rsidRDefault="00A9239E" w:rsidP="00CE61A9">
      <w:pPr>
        <w:jc w:val="both"/>
        <w:outlineLvl w:val="0"/>
        <w:rPr>
          <w:rFonts w:ascii="Calibri" w:hAnsi="Calibri"/>
          <w:b/>
          <w:sz w:val="22"/>
          <w:szCs w:val="22"/>
          <w:lang w:val="en-US"/>
        </w:rPr>
      </w:pPr>
      <w:r w:rsidRPr="00575FB1">
        <w:rPr>
          <w:rFonts w:ascii="Calibri" w:hAnsi="Calibri"/>
          <w:b/>
          <w:lang w:val="en-US"/>
        </w:rPr>
        <w:t>References</w:t>
      </w:r>
    </w:p>
    <w:p w:rsidR="00CE61A9" w:rsidRDefault="00CE61A9" w:rsidP="000B7F85">
      <w:pPr>
        <w:pStyle w:val="Reference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1.  H. Thisgaard, M. Jensen:</w:t>
      </w:r>
      <w:r w:rsidRPr="00CE61A9">
        <w:rPr>
          <w:rFonts w:ascii="Calibri" w:hAnsi="Calibri" w:cs="Arial"/>
          <w:szCs w:val="18"/>
        </w:rPr>
        <w:t xml:space="preserve"> </w:t>
      </w:r>
      <w:r w:rsidRPr="00CE61A9">
        <w:rPr>
          <w:rFonts w:ascii="Calibri" w:hAnsi="Calibri" w:cs="Arial"/>
          <w:i/>
          <w:szCs w:val="18"/>
        </w:rPr>
        <w:t>Appl Radiat Isot.</w:t>
      </w:r>
      <w:r w:rsidRPr="00CE61A9">
        <w:rPr>
          <w:rFonts w:ascii="Calibri" w:hAnsi="Calibri" w:cs="Arial"/>
          <w:szCs w:val="18"/>
        </w:rPr>
        <w:t xml:space="preserve"> </w:t>
      </w:r>
      <w:r w:rsidRPr="00CE61A9">
        <w:rPr>
          <w:rFonts w:ascii="Calibri" w:hAnsi="Calibri" w:cs="Arial"/>
          <w:b/>
          <w:szCs w:val="18"/>
        </w:rPr>
        <w:t>67</w:t>
      </w:r>
      <w:r>
        <w:rPr>
          <w:rFonts w:ascii="Calibri" w:hAnsi="Calibri" w:cs="Arial"/>
          <w:szCs w:val="18"/>
        </w:rPr>
        <w:t xml:space="preserve">, pp. </w:t>
      </w:r>
      <w:r w:rsidRPr="00CE61A9">
        <w:rPr>
          <w:rFonts w:ascii="Calibri" w:hAnsi="Calibri" w:cs="Arial"/>
          <w:szCs w:val="18"/>
        </w:rPr>
        <w:t>34</w:t>
      </w:r>
      <w:r>
        <w:rPr>
          <w:rFonts w:ascii="Calibri" w:hAnsi="Calibri" w:cs="Arial"/>
          <w:szCs w:val="18"/>
        </w:rPr>
        <w:t>-38, 2009</w:t>
      </w:r>
      <w:r w:rsidRPr="00CE61A9">
        <w:rPr>
          <w:rFonts w:ascii="Calibri" w:hAnsi="Calibri" w:cs="Arial"/>
          <w:szCs w:val="18"/>
        </w:rPr>
        <w:t>.</w:t>
      </w:r>
    </w:p>
    <w:p w:rsidR="00353691" w:rsidRDefault="00CE61A9" w:rsidP="000B7F85">
      <w:pPr>
        <w:pStyle w:val="Reference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2.   </w:t>
      </w:r>
      <w:r w:rsidR="00D22A5F">
        <w:rPr>
          <w:rFonts w:ascii="Calibri" w:hAnsi="Calibri" w:cs="Arial"/>
          <w:szCs w:val="18"/>
        </w:rPr>
        <w:t xml:space="preserve">J Magill, </w:t>
      </w:r>
      <w:r w:rsidR="00D22A5F">
        <w:rPr>
          <w:rFonts w:ascii="Calibri" w:hAnsi="Calibri" w:cs="Arial"/>
          <w:i/>
          <w:szCs w:val="18"/>
        </w:rPr>
        <w:t>et. all,</w:t>
      </w:r>
      <w:r w:rsidR="00D22A5F">
        <w:rPr>
          <w:rFonts w:ascii="Calibri" w:hAnsi="Calibri" w:cs="Arial"/>
          <w:szCs w:val="18"/>
        </w:rPr>
        <w:t xml:space="preserve"> </w:t>
      </w:r>
      <w:r w:rsidR="00D02EED">
        <w:rPr>
          <w:rFonts w:ascii="Calibri" w:hAnsi="Calibri" w:cs="Arial"/>
          <w:i/>
          <w:szCs w:val="18"/>
        </w:rPr>
        <w:t>Chart of the Nuclides.</w:t>
      </w:r>
      <w:r w:rsidR="00D02EED">
        <w:rPr>
          <w:rFonts w:ascii="Calibri" w:hAnsi="Calibri" w:cs="Arial"/>
          <w:szCs w:val="18"/>
        </w:rPr>
        <w:t xml:space="preserve"> </w:t>
      </w:r>
      <w:r w:rsidR="00D02EED">
        <w:rPr>
          <w:rFonts w:ascii="Calibri" w:hAnsi="Calibri" w:cs="Arial"/>
          <w:b/>
          <w:szCs w:val="18"/>
        </w:rPr>
        <w:t>9</w:t>
      </w:r>
      <w:r w:rsidR="00D02EED">
        <w:rPr>
          <w:rFonts w:ascii="Calibri" w:hAnsi="Calibri" w:cs="Arial"/>
          <w:szCs w:val="18"/>
        </w:rPr>
        <w:t>, 2015.</w:t>
      </w:r>
    </w:p>
    <w:p w:rsidR="000021CF" w:rsidRPr="000021CF" w:rsidRDefault="000021CF" w:rsidP="000B7F85">
      <w:pPr>
        <w:pStyle w:val="Reference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3.   A. Obata, </w:t>
      </w:r>
      <w:r>
        <w:rPr>
          <w:rFonts w:ascii="Calibri" w:hAnsi="Calibri" w:cs="Arial"/>
          <w:i/>
          <w:szCs w:val="18"/>
        </w:rPr>
        <w:t>et. al</w:t>
      </w:r>
      <w:r w:rsidRPr="000021CF">
        <w:rPr>
          <w:rFonts w:ascii="Calibri" w:hAnsi="Calibri" w:cs="Arial"/>
          <w:i/>
          <w:szCs w:val="18"/>
        </w:rPr>
        <w:t>: Nucl Med Biol.</w:t>
      </w:r>
      <w:r>
        <w:rPr>
          <w:rFonts w:ascii="Calibri" w:hAnsi="Calibri" w:cs="Arial"/>
          <w:szCs w:val="18"/>
        </w:rPr>
        <w:t xml:space="preserve"> </w:t>
      </w:r>
      <w:r>
        <w:rPr>
          <w:rFonts w:ascii="Calibri" w:hAnsi="Calibri" w:cs="Arial"/>
          <w:b/>
          <w:szCs w:val="18"/>
        </w:rPr>
        <w:t>30</w:t>
      </w:r>
      <w:r>
        <w:rPr>
          <w:rFonts w:ascii="Calibri" w:hAnsi="Calibri" w:cs="Arial"/>
          <w:szCs w:val="18"/>
        </w:rPr>
        <w:t>, pp. 535-9, 2003.</w:t>
      </w:r>
    </w:p>
    <w:p w:rsidR="00353691" w:rsidRPr="00353691" w:rsidRDefault="000021CF" w:rsidP="000B7F85">
      <w:pPr>
        <w:pStyle w:val="Reference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lastRenderedPageBreak/>
        <w:t>4</w:t>
      </w:r>
      <w:r w:rsidR="00D02EED">
        <w:rPr>
          <w:rFonts w:ascii="Calibri" w:hAnsi="Calibri" w:cs="Arial"/>
          <w:szCs w:val="18"/>
        </w:rPr>
        <w:t xml:space="preserve">.  </w:t>
      </w:r>
      <w:r w:rsidR="00353691">
        <w:rPr>
          <w:rFonts w:ascii="Calibri" w:hAnsi="Calibri" w:cs="Arial"/>
          <w:szCs w:val="18"/>
        </w:rPr>
        <w:t xml:space="preserve">F.C. Walsh, C.T.J. Low: </w:t>
      </w:r>
      <w:r w:rsidR="00353691">
        <w:rPr>
          <w:rFonts w:ascii="Calibri" w:hAnsi="Calibri" w:cs="Arial"/>
          <w:i/>
          <w:szCs w:val="18"/>
        </w:rPr>
        <w:t>Surface &amp; Coatings Technology.</w:t>
      </w:r>
      <w:r w:rsidR="00353691">
        <w:rPr>
          <w:rFonts w:ascii="Calibri" w:hAnsi="Calibri" w:cs="Arial"/>
          <w:szCs w:val="18"/>
        </w:rPr>
        <w:t xml:space="preserve"> </w:t>
      </w:r>
      <w:r w:rsidR="00353691">
        <w:rPr>
          <w:rFonts w:ascii="Calibri" w:hAnsi="Calibri" w:cs="Arial"/>
          <w:b/>
          <w:szCs w:val="18"/>
        </w:rPr>
        <w:t>288</w:t>
      </w:r>
      <w:r w:rsidR="00353691" w:rsidRPr="00353691">
        <w:rPr>
          <w:rFonts w:ascii="Calibri" w:hAnsi="Calibri" w:cs="Arial"/>
          <w:i/>
          <w:szCs w:val="18"/>
        </w:rPr>
        <w:t>,</w:t>
      </w:r>
      <w:r w:rsidR="00353691">
        <w:rPr>
          <w:rFonts w:ascii="Calibri" w:hAnsi="Calibri" w:cs="Arial"/>
          <w:szCs w:val="18"/>
        </w:rPr>
        <w:t xml:space="preserve"> pp. 79-94, 2016.</w:t>
      </w:r>
    </w:p>
    <w:p w:rsidR="002051B2" w:rsidRPr="00885DBC" w:rsidRDefault="000021CF" w:rsidP="000B7F85">
      <w:pPr>
        <w:pStyle w:val="Reference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5</w:t>
      </w:r>
      <w:r w:rsidR="00A9239E" w:rsidRPr="00575FB1">
        <w:rPr>
          <w:rFonts w:ascii="Calibri" w:hAnsi="Calibri" w:cs="Arial"/>
          <w:szCs w:val="18"/>
        </w:rPr>
        <w:t>.</w:t>
      </w:r>
      <w:r w:rsidR="00A9239E" w:rsidRPr="00575FB1">
        <w:rPr>
          <w:rFonts w:ascii="Calibri" w:hAnsi="Calibri" w:cs="Arial"/>
          <w:szCs w:val="18"/>
        </w:rPr>
        <w:tab/>
      </w:r>
      <w:r w:rsidR="00885DBC">
        <w:rPr>
          <w:rFonts w:ascii="Calibri" w:hAnsi="Calibri" w:cs="Arial"/>
          <w:szCs w:val="18"/>
        </w:rPr>
        <w:t xml:space="preserve">P. Møller, L.P. Nielsen: </w:t>
      </w:r>
      <w:r w:rsidR="00C4641C">
        <w:rPr>
          <w:rFonts w:ascii="Calibri" w:hAnsi="Calibri" w:cs="Arial"/>
          <w:i/>
          <w:szCs w:val="18"/>
        </w:rPr>
        <w:t>Advanced Su</w:t>
      </w:r>
      <w:r w:rsidR="00885DBC">
        <w:rPr>
          <w:rFonts w:ascii="Calibri" w:hAnsi="Calibri" w:cs="Arial"/>
          <w:i/>
          <w:szCs w:val="18"/>
        </w:rPr>
        <w:t>r</w:t>
      </w:r>
      <w:r w:rsidR="00C4641C">
        <w:rPr>
          <w:rFonts w:ascii="Calibri" w:hAnsi="Calibri" w:cs="Arial"/>
          <w:i/>
          <w:szCs w:val="18"/>
        </w:rPr>
        <w:t>f</w:t>
      </w:r>
      <w:r w:rsidR="00885DBC">
        <w:rPr>
          <w:rFonts w:ascii="Calibri" w:hAnsi="Calibri" w:cs="Arial"/>
          <w:i/>
          <w:szCs w:val="18"/>
        </w:rPr>
        <w:t>ace Technology,</w:t>
      </w:r>
      <w:r w:rsidR="00885DBC">
        <w:rPr>
          <w:rFonts w:ascii="Calibri" w:hAnsi="Calibri" w:cs="Arial"/>
          <w:szCs w:val="18"/>
        </w:rPr>
        <w:t xml:space="preserve"> </w:t>
      </w:r>
      <w:r w:rsidR="00885DBC">
        <w:rPr>
          <w:rFonts w:ascii="Calibri" w:hAnsi="Calibri" w:cs="Arial"/>
          <w:b/>
          <w:szCs w:val="18"/>
        </w:rPr>
        <w:t>2</w:t>
      </w:r>
      <w:r w:rsidR="00885DBC">
        <w:rPr>
          <w:rFonts w:ascii="Calibri" w:hAnsi="Calibri" w:cs="Arial"/>
          <w:szCs w:val="18"/>
        </w:rPr>
        <w:t>, pp. 243,</w:t>
      </w:r>
      <w:r w:rsidR="00C4641C">
        <w:rPr>
          <w:rFonts w:ascii="Calibri" w:hAnsi="Calibri" w:cs="Arial"/>
          <w:szCs w:val="18"/>
        </w:rPr>
        <w:t xml:space="preserve"> 2013.</w:t>
      </w:r>
    </w:p>
    <w:p w:rsidR="00754AC0" w:rsidRPr="00575FB1" w:rsidRDefault="00754AC0" w:rsidP="000B7F85">
      <w:pPr>
        <w:pStyle w:val="Reference"/>
        <w:rPr>
          <w:rFonts w:ascii="Calibri" w:hAnsi="Calibri" w:cs="Arial"/>
          <w:color w:val="000000"/>
          <w:szCs w:val="18"/>
          <w:lang w:eastAsia="de-DE"/>
        </w:rPr>
      </w:pPr>
    </w:p>
    <w:p w:rsidR="00A9239E" w:rsidRPr="00575FB1" w:rsidRDefault="00A9239E" w:rsidP="00CE61A9">
      <w:pPr>
        <w:jc w:val="both"/>
        <w:outlineLvl w:val="0"/>
        <w:rPr>
          <w:rFonts w:ascii="Calibri" w:hAnsi="Calibri"/>
          <w:b/>
          <w:sz w:val="22"/>
          <w:szCs w:val="22"/>
          <w:lang w:val="en-US"/>
        </w:rPr>
      </w:pPr>
      <w:r w:rsidRPr="00575FB1">
        <w:rPr>
          <w:rFonts w:ascii="Calibri" w:hAnsi="Calibri"/>
          <w:b/>
          <w:lang w:val="en-US"/>
        </w:rPr>
        <w:t>Acknowledgements</w:t>
      </w:r>
    </w:p>
    <w:p w:rsidR="000C5014" w:rsidRDefault="002051B2" w:rsidP="000B7F85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The authors would</w:t>
      </w:r>
      <w:r w:rsidR="007D36BD">
        <w:rPr>
          <w:rFonts w:ascii="Calibri" w:hAnsi="Calibri"/>
          <w:lang w:val="en-US"/>
        </w:rPr>
        <w:t xml:space="preserve"> like to thank Drs. Per Møller </w:t>
      </w:r>
      <w:r w:rsidR="00763E2A">
        <w:rPr>
          <w:rFonts w:ascii="Calibri" w:hAnsi="Calibri"/>
          <w:lang w:val="en-US"/>
        </w:rPr>
        <w:t>and Lars Nielsen</w:t>
      </w:r>
      <w:r w:rsidR="007D36BD">
        <w:rPr>
          <w:rFonts w:ascii="Calibri" w:hAnsi="Calibri"/>
          <w:lang w:val="en-US"/>
        </w:rPr>
        <w:t xml:space="preserve"> for advice i</w:t>
      </w:r>
      <w:r>
        <w:rPr>
          <w:rFonts w:ascii="Calibri" w:hAnsi="Calibri"/>
          <w:lang w:val="en-US"/>
        </w:rPr>
        <w:t>n the electroplating process.</w:t>
      </w:r>
      <w:r w:rsidR="00273DA0">
        <w:rPr>
          <w:rFonts w:ascii="Calibri" w:hAnsi="Calibri"/>
          <w:lang w:val="en-US"/>
        </w:rPr>
        <w:t xml:space="preserve"> </w:t>
      </w:r>
    </w:p>
    <w:p w:rsidR="00273DA0" w:rsidRPr="00273DA0" w:rsidRDefault="00273DA0" w:rsidP="000B7F85">
      <w:pPr>
        <w:jc w:val="both"/>
        <w:rPr>
          <w:rFonts w:ascii="Calibri" w:hAnsi="Calibri"/>
          <w:lang w:val="en-US"/>
        </w:rPr>
        <w:sectPr w:rsidR="00273DA0" w:rsidRPr="00273DA0" w:rsidSect="000C5014">
          <w:type w:val="continuous"/>
          <w:pgSz w:w="11906" w:h="16838" w:code="9"/>
          <w:pgMar w:top="1440" w:right="1440" w:bottom="1440" w:left="1800" w:header="709" w:footer="709" w:gutter="0"/>
          <w:cols w:num="2" w:space="708"/>
          <w:docGrid w:linePitch="360"/>
        </w:sectPr>
      </w:pPr>
    </w:p>
    <w:p w:rsidR="00586672" w:rsidRDefault="00586672" w:rsidP="000B7F85">
      <w:pPr>
        <w:jc w:val="both"/>
      </w:pPr>
    </w:p>
    <w:sectPr w:rsidR="00586672" w:rsidSect="000C5014">
      <w:type w:val="continuous"/>
      <w:pgSz w:w="11906" w:h="16838" w:code="9"/>
      <w:pgMar w:top="1440" w:right="1440" w:bottom="1440" w:left="180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921" w:rsidRDefault="00696921" w:rsidP="00A9239E">
      <w:r>
        <w:separator/>
      </w:r>
    </w:p>
  </w:endnote>
  <w:endnote w:type="continuationSeparator" w:id="0">
    <w:p w:rsidR="00696921" w:rsidRDefault="00696921" w:rsidP="00A9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014" w:rsidRPr="00575FB1" w:rsidRDefault="000C5014">
    <w:pPr>
      <w:pStyle w:val="Footer"/>
      <w:rPr>
        <w:rFonts w:ascii="Calibri" w:hAnsi="Calibri"/>
        <w:sz w:val="18"/>
        <w:szCs w:val="18"/>
      </w:rPr>
    </w:pPr>
    <w:r w:rsidRPr="00575FB1">
      <w:rPr>
        <w:rFonts w:ascii="Calibri" w:hAnsi="Calibri"/>
        <w:sz w:val="18"/>
        <w:szCs w:val="18"/>
        <w:vertAlign w:val="superscript"/>
      </w:rPr>
      <w:t>1</w:t>
    </w:r>
    <w:r w:rsidR="008230D1">
      <w:rPr>
        <w:rFonts w:ascii="Calibri" w:hAnsi="Calibri"/>
        <w:sz w:val="18"/>
        <w:szCs w:val="18"/>
      </w:rPr>
      <w:t xml:space="preserve">Corresponding author, E-Mail: </w:t>
    </w:r>
    <w:r w:rsidR="00C4641C">
      <w:rPr>
        <w:rFonts w:ascii="Calibri" w:hAnsi="Calibri"/>
        <w:sz w:val="18"/>
        <w:szCs w:val="18"/>
      </w:rPr>
      <w:t>jwengle</w:t>
    </w:r>
    <w:r w:rsidR="008230D1">
      <w:rPr>
        <w:rFonts w:ascii="Calibri" w:hAnsi="Calibri"/>
        <w:sz w:val="18"/>
        <w:szCs w:val="18"/>
      </w:rPr>
      <w:t>@wisc.edu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921" w:rsidRDefault="00696921" w:rsidP="00A9239E">
      <w:r>
        <w:separator/>
      </w:r>
    </w:p>
  </w:footnote>
  <w:footnote w:type="continuationSeparator" w:id="0">
    <w:p w:rsidR="00696921" w:rsidRDefault="00696921" w:rsidP="00A92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mirrorMargins/>
  <w:defaultTabStop w:val="708"/>
  <w:autoHyphenation/>
  <w:consecutiveHyphenLimit w:val="4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9E"/>
    <w:rsid w:val="000021CF"/>
    <w:rsid w:val="000576E5"/>
    <w:rsid w:val="00081D57"/>
    <w:rsid w:val="000B7F85"/>
    <w:rsid w:val="000C5014"/>
    <w:rsid w:val="000D0682"/>
    <w:rsid w:val="000F4D79"/>
    <w:rsid w:val="00113399"/>
    <w:rsid w:val="001402DF"/>
    <w:rsid w:val="001955B2"/>
    <w:rsid w:val="001969AE"/>
    <w:rsid w:val="001A0164"/>
    <w:rsid w:val="001A5EAB"/>
    <w:rsid w:val="001B70B2"/>
    <w:rsid w:val="001D1160"/>
    <w:rsid w:val="002051B2"/>
    <w:rsid w:val="00257FEA"/>
    <w:rsid w:val="00260E1D"/>
    <w:rsid w:val="002674BC"/>
    <w:rsid w:val="00273DA0"/>
    <w:rsid w:val="00311264"/>
    <w:rsid w:val="00333977"/>
    <w:rsid w:val="00353691"/>
    <w:rsid w:val="003A0414"/>
    <w:rsid w:val="003A7D69"/>
    <w:rsid w:val="003C18D0"/>
    <w:rsid w:val="003F55B4"/>
    <w:rsid w:val="003F5AB0"/>
    <w:rsid w:val="004014A8"/>
    <w:rsid w:val="004140E7"/>
    <w:rsid w:val="00464C1C"/>
    <w:rsid w:val="004727CE"/>
    <w:rsid w:val="00490CA2"/>
    <w:rsid w:val="00494ACA"/>
    <w:rsid w:val="004C72E1"/>
    <w:rsid w:val="00524F67"/>
    <w:rsid w:val="005257BE"/>
    <w:rsid w:val="00530ED8"/>
    <w:rsid w:val="0053271B"/>
    <w:rsid w:val="00547584"/>
    <w:rsid w:val="005632A1"/>
    <w:rsid w:val="00575FB1"/>
    <w:rsid w:val="00586672"/>
    <w:rsid w:val="005C4232"/>
    <w:rsid w:val="005F58BC"/>
    <w:rsid w:val="00601768"/>
    <w:rsid w:val="006235F8"/>
    <w:rsid w:val="00646945"/>
    <w:rsid w:val="00657634"/>
    <w:rsid w:val="00696921"/>
    <w:rsid w:val="006B537E"/>
    <w:rsid w:val="006C3F09"/>
    <w:rsid w:val="006F1F48"/>
    <w:rsid w:val="0071137D"/>
    <w:rsid w:val="0071353A"/>
    <w:rsid w:val="00754AC0"/>
    <w:rsid w:val="00763E2A"/>
    <w:rsid w:val="00773CAB"/>
    <w:rsid w:val="007B3DC2"/>
    <w:rsid w:val="007B4EB4"/>
    <w:rsid w:val="007B7345"/>
    <w:rsid w:val="007D36BD"/>
    <w:rsid w:val="007F2C77"/>
    <w:rsid w:val="00820841"/>
    <w:rsid w:val="008230D1"/>
    <w:rsid w:val="0084273D"/>
    <w:rsid w:val="00842D3F"/>
    <w:rsid w:val="00885DBC"/>
    <w:rsid w:val="00891F93"/>
    <w:rsid w:val="008B3730"/>
    <w:rsid w:val="00A118DC"/>
    <w:rsid w:val="00A866D0"/>
    <w:rsid w:val="00A876A7"/>
    <w:rsid w:val="00A9239E"/>
    <w:rsid w:val="00B03143"/>
    <w:rsid w:val="00B2079C"/>
    <w:rsid w:val="00B225C8"/>
    <w:rsid w:val="00B32A72"/>
    <w:rsid w:val="00B46F03"/>
    <w:rsid w:val="00B664A8"/>
    <w:rsid w:val="00BC4B49"/>
    <w:rsid w:val="00C14688"/>
    <w:rsid w:val="00C232CB"/>
    <w:rsid w:val="00C44F09"/>
    <w:rsid w:val="00C4641C"/>
    <w:rsid w:val="00C830AF"/>
    <w:rsid w:val="00CB4355"/>
    <w:rsid w:val="00CD1A64"/>
    <w:rsid w:val="00CE4E07"/>
    <w:rsid w:val="00CE61A9"/>
    <w:rsid w:val="00CF796F"/>
    <w:rsid w:val="00D02EED"/>
    <w:rsid w:val="00D22A5F"/>
    <w:rsid w:val="00D707E1"/>
    <w:rsid w:val="00D914BD"/>
    <w:rsid w:val="00DC778F"/>
    <w:rsid w:val="00DE71F3"/>
    <w:rsid w:val="00DF1B3C"/>
    <w:rsid w:val="00DF675C"/>
    <w:rsid w:val="00E24EE2"/>
    <w:rsid w:val="00E34872"/>
    <w:rsid w:val="00E422AE"/>
    <w:rsid w:val="00E500E1"/>
    <w:rsid w:val="00E56D3C"/>
    <w:rsid w:val="00E85169"/>
    <w:rsid w:val="00EB3B51"/>
    <w:rsid w:val="00EC264A"/>
    <w:rsid w:val="00F14614"/>
    <w:rsid w:val="00F3475A"/>
    <w:rsid w:val="00F46A21"/>
    <w:rsid w:val="00F51F6F"/>
    <w:rsid w:val="00F60965"/>
    <w:rsid w:val="00F6484D"/>
    <w:rsid w:val="00FC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30EB85"/>
  <w15:docId w15:val="{05E9D982-FB16-6E42-82CA-E677C887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39E"/>
    <w:rPr>
      <w:rFonts w:ascii="Arial" w:eastAsia="Times New Roman" w:hAnsi="Arial" w:cs="Arial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A9239E"/>
    <w:pPr>
      <w:ind w:left="270" w:hanging="270"/>
      <w:jc w:val="both"/>
    </w:pPr>
    <w:rPr>
      <w:rFonts w:ascii="Times New Roman" w:hAnsi="Times New Roman" w:cs="Times New Roman"/>
      <w:sz w:val="1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39E"/>
  </w:style>
  <w:style w:type="character" w:customStyle="1" w:styleId="FootnoteTextChar">
    <w:name w:val="Footnote Text Char"/>
    <w:link w:val="FootnoteText"/>
    <w:uiPriority w:val="99"/>
    <w:semiHidden/>
    <w:rsid w:val="00A9239E"/>
    <w:rPr>
      <w:rFonts w:ascii="Arial" w:eastAsia="Times New Roman" w:hAnsi="Arial" w:cs="Arial"/>
      <w:sz w:val="20"/>
      <w:szCs w:val="20"/>
      <w:lang w:val="de-DE" w:eastAsia="de-DE"/>
    </w:rPr>
  </w:style>
  <w:style w:type="character" w:styleId="FootnoteReference">
    <w:name w:val="footnote reference"/>
    <w:uiPriority w:val="99"/>
    <w:semiHidden/>
    <w:unhideWhenUsed/>
    <w:rsid w:val="00A9239E"/>
    <w:rPr>
      <w:vertAlign w:val="superscript"/>
    </w:rPr>
  </w:style>
  <w:style w:type="table" w:styleId="TableGrid">
    <w:name w:val="Table Grid"/>
    <w:basedOn w:val="TableNormal"/>
    <w:uiPriority w:val="59"/>
    <w:rsid w:val="00F14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146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2">
    <w:name w:val="Medium Shading 2"/>
    <w:basedOn w:val="TableNormal"/>
    <w:uiPriority w:val="64"/>
    <w:rsid w:val="00F609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C501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C5014"/>
    <w:rPr>
      <w:rFonts w:ascii="Arial" w:eastAsia="Times New Roman" w:hAnsi="Arial" w:cs="Arial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0C501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C5014"/>
    <w:rPr>
      <w:rFonts w:ascii="Arial" w:eastAsia="Times New Roman" w:hAnsi="Arial" w:cs="Arial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5014"/>
    <w:rPr>
      <w:rFonts w:ascii="Tahoma" w:eastAsia="Times New Roman" w:hAnsi="Tahoma" w:cs="Tahoma"/>
      <w:sz w:val="16"/>
      <w:szCs w:val="16"/>
      <w:lang w:val="de-DE" w:eastAsia="de-DE"/>
    </w:rPr>
  </w:style>
  <w:style w:type="character" w:styleId="CommentReference">
    <w:name w:val="annotation reference"/>
    <w:uiPriority w:val="99"/>
    <w:semiHidden/>
    <w:unhideWhenUsed/>
    <w:rsid w:val="00D70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7E1"/>
  </w:style>
  <w:style w:type="character" w:customStyle="1" w:styleId="CommentTextChar">
    <w:name w:val="Comment Text Char"/>
    <w:link w:val="CommentText"/>
    <w:uiPriority w:val="99"/>
    <w:semiHidden/>
    <w:rsid w:val="00D707E1"/>
    <w:rPr>
      <w:rFonts w:ascii="Arial" w:eastAsia="Times New Roman" w:hAnsi="Arial" w:cs="Arial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7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7E1"/>
    <w:rPr>
      <w:rFonts w:ascii="Arial" w:eastAsia="Times New Roman" w:hAnsi="Arial" w:cs="Arial"/>
      <w:b/>
      <w:bCs/>
      <w:lang w:val="de-DE" w:eastAsia="de-DE"/>
    </w:rPr>
  </w:style>
  <w:style w:type="paragraph" w:styleId="Revision">
    <w:name w:val="Revision"/>
    <w:hidden/>
    <w:uiPriority w:val="99"/>
    <w:semiHidden/>
    <w:rsid w:val="00CE61A9"/>
    <w:rPr>
      <w:rFonts w:ascii="Arial" w:eastAsia="Times New Roman" w:hAnsi="Arial" w:cs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A1BC7-F561-A348-99AB-B7B533F8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WTTC</dc:creator>
  <cp:keywords/>
  <cp:lastModifiedBy>Aeli P. Olson</cp:lastModifiedBy>
  <cp:revision>8</cp:revision>
  <dcterms:created xsi:type="dcterms:W3CDTF">2018-04-30T18:56:00Z</dcterms:created>
  <dcterms:modified xsi:type="dcterms:W3CDTF">2018-04-30T19:07:00Z</dcterms:modified>
</cp:coreProperties>
</file>