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asciiTheme="minorHAnsi" w:hAnsiTheme="minorHAnsi"/>
          <w:b/>
          <w:b/>
          <w:sz w:val="24"/>
          <w:szCs w:val="24"/>
          <w:lang w:val="en-GB"/>
        </w:rPr>
      </w:pPr>
      <w:r>
        <w:rPr>
          <w:rFonts w:cs="Calibri" w:ascii="Calibri" w:hAnsi="Calibri" w:asciiTheme="minorHAnsi" w:hAnsiTheme="minorHAnsi"/>
          <w:b/>
          <w:sz w:val="24"/>
          <w:szCs w:val="24"/>
          <w:lang w:val="en-GB"/>
        </w:rPr>
        <w:t>Introduction of the new Center for Radiopharmaceutical Cancer Research at</w:t>
      </w:r>
    </w:p>
    <w:p>
      <w:pPr>
        <w:pStyle w:val="Normal"/>
        <w:jc w:val="center"/>
        <w:rPr>
          <w:rFonts w:ascii="Calibri" w:hAnsi="Calibri" w:asciiTheme="minorHAnsi" w:hAnsiTheme="minorHAnsi"/>
          <w:lang w:val="en-GB"/>
        </w:rPr>
      </w:pPr>
      <w:r>
        <w:rPr>
          <w:rFonts w:cs="Calibri" w:ascii="Calibri" w:hAnsi="Calibri" w:asciiTheme="minorHAnsi" w:hAnsiTheme="minorHAnsi"/>
          <w:b/>
          <w:sz w:val="24"/>
          <w:szCs w:val="24"/>
          <w:lang w:val="en-GB"/>
        </w:rPr>
        <w:t>Helmholtz-Zentrum Dresden-Rossendorf</w:t>
      </w:r>
    </w:p>
    <w:p>
      <w:pPr>
        <w:pStyle w:val="Normal"/>
        <w:jc w:val="center"/>
        <w:rPr>
          <w:rFonts w:ascii="Calibri" w:hAnsi="Calibri" w:cs="Calibri" w:asciiTheme="minorHAnsi" w:hAnsiTheme="minorHAnsi"/>
          <w:sz w:val="12"/>
          <w:szCs w:val="12"/>
          <w:lang w:val="en-GB"/>
        </w:rPr>
      </w:pPr>
      <w:r>
        <w:rPr>
          <w:rFonts w:cs="Calibri" w:ascii="Calibri" w:hAnsi="Calibri"/>
          <w:sz w:val="12"/>
          <w:szCs w:val="12"/>
          <w:lang w:val="en-GB"/>
        </w:rPr>
      </w:r>
    </w:p>
    <w:p>
      <w:pPr>
        <w:pStyle w:val="Normal"/>
        <w:spacing w:before="0" w:after="85"/>
        <w:jc w:val="center"/>
        <w:rPr/>
      </w:pPr>
      <w:r>
        <w:rPr>
          <w:rFonts w:cs="Calibri" w:ascii="Calibri" w:hAnsi="Calibri"/>
          <w:sz w:val="18"/>
          <w:szCs w:val="18"/>
          <w:lang w:val="en-GB"/>
        </w:rPr>
        <w:t>M. Kreller</w:t>
      </w:r>
      <w:r>
        <w:rPr>
          <w:rFonts w:cs="Calibri" w:ascii="Calibri" w:hAnsi="Calibri"/>
          <w:sz w:val="18"/>
          <w:szCs w:val="18"/>
          <w:vertAlign w:val="superscript"/>
          <w:lang w:val="en-GB"/>
        </w:rPr>
        <w:t>a,1</w:t>
      </w:r>
      <w:r>
        <w:rPr>
          <w:rFonts w:cs="Calibri" w:ascii="Calibri" w:hAnsi="Calibri"/>
          <w:sz w:val="18"/>
          <w:szCs w:val="18"/>
          <w:lang w:val="en-GB"/>
        </w:rPr>
        <w:t>, H. J. Pietzsch</w:t>
      </w:r>
      <w:r>
        <w:rPr>
          <w:rFonts w:cs="Calibri" w:ascii="Calibri" w:hAnsi="Calibri"/>
          <w:sz w:val="18"/>
          <w:szCs w:val="18"/>
          <w:vertAlign w:val="superscript"/>
          <w:lang w:val="en-GB"/>
        </w:rPr>
        <w:t>a</w:t>
      </w:r>
      <w:r>
        <w:rPr>
          <w:rFonts w:cs="Calibri" w:ascii="Calibri" w:hAnsi="Calibri"/>
          <w:sz w:val="18"/>
          <w:szCs w:val="18"/>
          <w:lang w:val="en-GB"/>
        </w:rPr>
        <w:t>, M. Walther</w:t>
      </w:r>
      <w:r>
        <w:rPr>
          <w:rFonts w:cs="Calibri" w:ascii="Calibri" w:hAnsi="Calibri"/>
          <w:sz w:val="18"/>
          <w:szCs w:val="18"/>
          <w:vertAlign w:val="superscript"/>
          <w:lang w:val="en-GB"/>
        </w:rPr>
        <w:t>a</w:t>
      </w:r>
      <w:r>
        <w:rPr>
          <w:rFonts w:cs="Calibri" w:ascii="Calibri" w:hAnsi="Calibri"/>
          <w:sz w:val="18"/>
          <w:szCs w:val="18"/>
          <w:lang w:val="en-GB"/>
        </w:rPr>
        <w:t>, J. Sader</w:t>
      </w:r>
      <w:r>
        <w:rPr>
          <w:rFonts w:cs="Calibri" w:ascii="Calibri" w:hAnsi="Calibri"/>
          <w:sz w:val="18"/>
          <w:szCs w:val="18"/>
          <w:vertAlign w:val="superscript"/>
          <w:lang w:val="en-GB"/>
        </w:rPr>
        <w:t>b</w:t>
      </w:r>
      <w:r>
        <w:rPr>
          <w:rFonts w:cs="Calibri" w:ascii="Calibri" w:hAnsi="Calibri"/>
          <w:sz w:val="18"/>
          <w:szCs w:val="18"/>
          <w:lang w:val="en-GB"/>
        </w:rPr>
        <w:t xml:space="preserve">, </w:t>
      </w:r>
      <w:r>
        <w:rPr>
          <w:rFonts w:cs="Calibri" w:ascii="Calibri" w:hAnsi="Calibri"/>
          <w:sz w:val="18"/>
          <w:szCs w:val="18"/>
          <w:lang w:val="en-GB"/>
        </w:rPr>
        <w:t>R. Watt</w:t>
      </w:r>
      <w:r>
        <w:rPr>
          <w:rFonts w:cs="Calibri" w:ascii="Calibri" w:hAnsi="Calibri"/>
          <w:sz w:val="18"/>
          <w:szCs w:val="18"/>
          <w:vertAlign w:val="superscript"/>
          <w:lang w:val="en-GB"/>
        </w:rPr>
        <w:t>b</w:t>
      </w:r>
      <w:r>
        <w:rPr>
          <w:rFonts w:cs="Calibri" w:ascii="Calibri" w:hAnsi="Calibri"/>
          <w:sz w:val="18"/>
          <w:szCs w:val="18"/>
          <w:lang w:val="en-GB"/>
        </w:rPr>
        <w:t xml:space="preserve"> H. Tietze</w:t>
      </w:r>
      <w:r>
        <w:rPr>
          <w:rFonts w:cs="Calibri" w:ascii="Calibri" w:hAnsi="Calibri"/>
          <w:sz w:val="18"/>
          <w:szCs w:val="18"/>
          <w:vertAlign w:val="superscript"/>
          <w:lang w:val="en-GB"/>
        </w:rPr>
        <w:t>c</w:t>
      </w:r>
      <w:r>
        <w:rPr>
          <w:rFonts w:cs="Calibri" w:ascii="Calibri" w:hAnsi="Calibri"/>
          <w:sz w:val="18"/>
          <w:szCs w:val="18"/>
          <w:lang w:val="en-GB"/>
        </w:rPr>
        <w:t>, P. Kaever</w:t>
      </w:r>
      <w:r>
        <w:rPr>
          <w:rFonts w:cs="Calibri" w:ascii="Calibri" w:hAnsi="Calibri"/>
          <w:sz w:val="18"/>
          <w:szCs w:val="18"/>
          <w:vertAlign w:val="superscript"/>
          <w:lang w:val="en-GB"/>
        </w:rPr>
        <w:t>c</w:t>
      </w:r>
      <w:r>
        <w:rPr>
          <w:rFonts w:cs="Calibri" w:ascii="Calibri" w:hAnsi="Calibri"/>
          <w:sz w:val="18"/>
          <w:szCs w:val="18"/>
          <w:lang w:val="en-GB"/>
        </w:rPr>
        <w:t>, F. Fuechtner</w:t>
      </w:r>
      <w:r>
        <w:rPr>
          <w:rFonts w:cs="Calibri" w:ascii="Calibri" w:hAnsi="Calibri"/>
          <w:sz w:val="18"/>
          <w:szCs w:val="18"/>
          <w:vertAlign w:val="superscript"/>
          <w:lang w:val="en-GB"/>
        </w:rPr>
        <w:t>a</w:t>
      </w:r>
      <w:r>
        <w:rPr>
          <w:rFonts w:cs="Calibri" w:ascii="Calibri" w:hAnsi="Calibri"/>
          <w:sz w:val="18"/>
          <w:szCs w:val="18"/>
          <w:lang w:val="en-GB"/>
        </w:rPr>
        <w:t>, J. Steinbach</w:t>
      </w:r>
      <w:r>
        <w:rPr>
          <w:rFonts w:cs="Calibri" w:ascii="Calibri" w:hAnsi="Calibri"/>
          <w:sz w:val="18"/>
          <w:szCs w:val="18"/>
          <w:vertAlign w:val="superscript"/>
          <w:lang w:val="en-GB"/>
        </w:rPr>
        <w:t>a</w:t>
      </w:r>
      <w:r>
        <w:rPr>
          <w:rFonts w:cs="Calibri" w:ascii="Calibri" w:hAnsi="Calibri"/>
          <w:sz w:val="18"/>
          <w:szCs w:val="18"/>
          <w:lang w:val="en-GB"/>
        </w:rPr>
        <w:t>, S. Preusche</w:t>
      </w:r>
      <w:r>
        <w:rPr>
          <w:rFonts w:cs="Calibri" w:ascii="Calibri" w:hAnsi="Calibri"/>
          <w:sz w:val="18"/>
          <w:szCs w:val="18"/>
          <w:vertAlign w:val="superscript"/>
          <w:lang w:val="en-GB"/>
        </w:rPr>
        <w:t>a</w:t>
      </w:r>
    </w:p>
    <w:p>
      <w:pPr>
        <w:pStyle w:val="Normal"/>
        <w:spacing w:before="0" w:after="28"/>
        <w:jc w:val="center"/>
        <w:rPr>
          <w:rFonts w:ascii="Calibri" w:hAnsi="Calibri" w:asciiTheme="minorHAnsi" w:hAnsiTheme="minorHAnsi"/>
          <w:lang w:val="en-GB"/>
        </w:rPr>
      </w:pPr>
      <w:r>
        <w:rPr>
          <w:rFonts w:cs="Calibri" w:ascii="Calibri" w:hAnsi="Calibri"/>
          <w:sz w:val="18"/>
          <w:szCs w:val="18"/>
          <w:vertAlign w:val="superscript"/>
          <w:lang w:val="en-GB"/>
        </w:rPr>
        <w:t>a</w:t>
      </w:r>
      <w:r>
        <w:rPr>
          <w:rFonts w:cs="Calibri" w:ascii="Calibri" w:hAnsi="Calibri"/>
          <w:sz w:val="18"/>
          <w:szCs w:val="18"/>
          <w:lang w:val="en-GB"/>
        </w:rPr>
        <w:t xml:space="preserve"> </w:t>
      </w:r>
      <w:r>
        <w:rPr>
          <w:rFonts w:cs="Calibri" w:ascii="Calibri" w:hAnsi="Calibri"/>
          <w:i/>
          <w:sz w:val="18"/>
          <w:szCs w:val="18"/>
          <w:lang w:val="en-GB"/>
        </w:rPr>
        <w:t>Helmholtz-Zentrum Dresden Rossendorf, Institute of Radiopharmaceutical Cancer Research, Bautzner</w:t>
      </w:r>
    </w:p>
    <w:p>
      <w:pPr>
        <w:pStyle w:val="Textkrper"/>
        <w:spacing w:before="0" w:after="28"/>
        <w:jc w:val="center"/>
        <w:rPr/>
      </w:pPr>
      <w:r>
        <w:rPr>
          <w:rFonts w:cs="Calibri" w:ascii="Calibri" w:hAnsi="Calibri"/>
          <w:i/>
          <w:sz w:val="18"/>
          <w:szCs w:val="18"/>
          <w:lang w:val="en-GB"/>
        </w:rPr>
        <w:t>Landstraße 400, 01328 Dresden, Germany</w:t>
      </w:r>
    </w:p>
    <w:p>
      <w:pPr>
        <w:pStyle w:val="Textkrper"/>
        <w:spacing w:before="0" w:after="28"/>
        <w:jc w:val="center"/>
        <w:rPr/>
      </w:pPr>
      <w:r>
        <w:rPr>
          <w:rFonts w:cs="Calibri" w:ascii="Calibri" w:hAnsi="Calibri" w:asciiTheme="minorHAnsi" w:hAnsiTheme="minorHAnsi"/>
          <w:i/>
          <w:sz w:val="18"/>
          <w:szCs w:val="18"/>
          <w:vertAlign w:val="superscript"/>
          <w:lang w:val="en-GB"/>
        </w:rPr>
        <w:t>b</w:t>
      </w:r>
      <w:r>
        <w:rPr>
          <w:rFonts w:cs="Calibri" w:ascii="Calibri" w:hAnsi="Calibri" w:asciiTheme="minorHAnsi" w:hAnsiTheme="minorHAnsi"/>
          <w:i/>
          <w:sz w:val="18"/>
          <w:szCs w:val="18"/>
          <w:lang w:val="en-GB"/>
        </w:rPr>
        <w:t xml:space="preserve"> </w:t>
      </w:r>
      <w:r>
        <w:rPr>
          <w:rStyle w:val="Strong"/>
          <w:rFonts w:cs="Calibri" w:ascii="Calibri" w:hAnsi="Calibri" w:asciiTheme="minorHAnsi" w:hAnsiTheme="minorHAnsi"/>
          <w:b w:val="false"/>
          <w:bCs w:val="false"/>
          <w:i/>
          <w:sz w:val="18"/>
          <w:szCs w:val="18"/>
          <w:lang w:val="en-GB"/>
        </w:rPr>
        <w:t xml:space="preserve">Advanced Cyclotron Systems, Inc., </w:t>
      </w:r>
      <w:r>
        <w:rPr>
          <w:rFonts w:cs="Calibri" w:ascii="Calibri" w:hAnsi="Calibri" w:asciiTheme="minorHAnsi" w:hAnsiTheme="minorHAnsi"/>
          <w:i/>
          <w:sz w:val="18"/>
          <w:szCs w:val="18"/>
          <w:lang w:val="en-GB"/>
        </w:rPr>
        <w:t>Unit 150 - 7280 River Road, Richmond, BC, Canada</w:t>
      </w:r>
    </w:p>
    <w:p>
      <w:pPr>
        <w:pStyle w:val="Normal"/>
        <w:spacing w:before="0" w:after="28"/>
        <w:jc w:val="center"/>
        <w:rPr/>
      </w:pPr>
      <w:r>
        <w:rPr>
          <w:rFonts w:cs="Calibri" w:ascii="Calibri" w:hAnsi="Calibri"/>
          <w:i/>
          <w:sz w:val="18"/>
          <w:szCs w:val="18"/>
          <w:vertAlign w:val="superscript"/>
          <w:lang w:val="en-GB"/>
        </w:rPr>
        <w:t>c</w:t>
      </w:r>
      <w:r>
        <w:rPr>
          <w:rFonts w:cs="Calibri" w:ascii="Calibri" w:hAnsi="Calibri"/>
          <w:i/>
          <w:sz w:val="18"/>
          <w:szCs w:val="18"/>
          <w:lang w:val="en-GB"/>
        </w:rPr>
        <w:t xml:space="preserve"> </w:t>
      </w:r>
      <w:bookmarkStart w:id="0" w:name="__DdeLink__197_2028988011"/>
      <w:r>
        <w:rPr>
          <w:rFonts w:cs="Calibri" w:ascii="Calibri" w:hAnsi="Calibri"/>
          <w:i/>
          <w:sz w:val="18"/>
          <w:szCs w:val="18"/>
          <w:lang w:val="en-GB"/>
        </w:rPr>
        <w:t>Helmholtz-Zentrum Dresden Rossendorf, Department of Research Technology, Bautzner</w:t>
      </w:r>
    </w:p>
    <w:p>
      <w:pPr>
        <w:pStyle w:val="Textkrper"/>
        <w:spacing w:before="0" w:after="28"/>
        <w:jc w:val="center"/>
        <w:rPr>
          <w:rFonts w:ascii="Calibri" w:hAnsi="Calibri" w:asciiTheme="minorHAnsi" w:hAnsiTheme="minorHAnsi"/>
          <w:lang w:val="en-GB"/>
        </w:rPr>
      </w:pPr>
      <w:r>
        <w:rPr>
          <w:rFonts w:cs="Calibri" w:ascii="Calibri" w:hAnsi="Calibri"/>
          <w:i/>
          <w:sz w:val="18"/>
          <w:szCs w:val="18"/>
          <w:lang w:val="en-GB"/>
        </w:rPr>
        <w:t>Landstraße 400, 01328 Dresden, Germany</w:t>
      </w:r>
      <w:bookmarkEnd w:id="0"/>
    </w:p>
    <w:p>
      <w:pPr>
        <w:sectPr>
          <w:headerReference w:type="default" r:id="rId2"/>
          <w:footerReference w:type="default" r:id="rId3"/>
          <w:type w:val="nextPage"/>
          <w:pgSz w:w="11906" w:h="16838"/>
          <w:pgMar w:left="1800" w:right="1440" w:header="709" w:top="1440" w:footer="737" w:bottom="1157" w:gutter="0"/>
          <w:pgNumType w:fmt="decimal"/>
          <w:formProt w:val="false"/>
          <w:textDirection w:val="lrTb"/>
          <w:docGrid w:type="default" w:linePitch="360" w:charSpace="10034"/>
        </w:sectPr>
      </w:pPr>
    </w:p>
    <w:p>
      <w:pPr>
        <w:pStyle w:val="Normal"/>
        <w:jc w:val="both"/>
        <w:rPr>
          <w:rFonts w:ascii="Calibri" w:hAnsi="Calibri" w:asciiTheme="minorHAnsi" w:hAnsiTheme="minorHAnsi"/>
          <w:lang w:val="en-GB"/>
        </w:rPr>
      </w:pPr>
      <w:r>
        <w:rPr>
          <w:rFonts w:cs="Calibri" w:ascii="Calibri" w:hAnsi="Calibri" w:asciiTheme="minorHAnsi" w:hAnsiTheme="minorHAnsi"/>
          <w:b/>
          <w:lang w:val="en-GB"/>
        </w:rPr>
        <w:t>Introduction</w:t>
      </w:r>
    </w:p>
    <w:p>
      <w:pPr>
        <w:pStyle w:val="Normal"/>
        <w:jc w:val="both"/>
        <w:rPr>
          <w:rFonts w:ascii="Calibri" w:hAnsi="Calibri" w:asciiTheme="minorHAnsi" w:hAnsiTheme="minorHAnsi"/>
          <w:lang w:val="en-GB"/>
        </w:rPr>
      </w:pPr>
      <w:r>
        <w:rPr>
          <w:rFonts w:cs="Calibri" w:ascii="Calibri" w:hAnsi="Calibri" w:asciiTheme="minorHAnsi" w:hAnsiTheme="minorHAnsi"/>
          <w:lang w:val="en-GB"/>
        </w:rPr>
        <w:t>Radiopharmaceutical research and the production of radiopharmaceuticals have a long history at the Research Center Rossendorf. In the past radionuclide production, pharmacological re-search and the pharmaceutical production were located at different places.[1]</w:t>
      </w:r>
    </w:p>
    <w:p>
      <w:pPr>
        <w:pStyle w:val="Normal"/>
        <w:jc w:val="both"/>
        <w:rPr>
          <w:rFonts w:ascii="Calibri" w:hAnsi="Calibri" w:cs="Calibri" w:asciiTheme="minorHAnsi" w:hAnsiTheme="minorHAnsi"/>
          <w:lang w:val="en-GB"/>
        </w:rPr>
      </w:pPr>
      <w:r>
        <w:rPr>
          <w:rFonts w:cs="Calibri" w:ascii="Calibri" w:hAnsi="Calibri" w:asciiTheme="minorHAnsi" w:hAnsiTheme="minorHAnsi"/>
          <w:lang w:val="en-GB"/>
        </w:rPr>
        <w:t>The new Center for Radiopharmaceutical Cancer Research was established to centralize the main units: a high current proton cyclotron, a radiopharmaceutical production – GMP unit (hot cells in a class “C” and class “B” clean-rooms) including the quality control, laboratories for PET-radiochemistry, chemical laboratories, laboratories for biochemical investigation inside and outside the controlled area, laboratories for small animal imaging (small animal PET/CT, SPECT/CT, OI, MR) and a laboratory animal facility (mice and rats). The new research complex expands the capabilities for high-end research remarkably.</w:t>
      </w:r>
    </w:p>
    <w:p>
      <w:pPr>
        <w:pStyle w:val="Normal"/>
        <w:jc w:val="both"/>
        <w:rPr>
          <w:rFonts w:ascii="Calibri" w:hAnsi="Calibri" w:asciiTheme="minorHAnsi" w:hAnsiTheme="minorHAnsi"/>
          <w:lang w:val="en-GB"/>
        </w:rPr>
      </w:pPr>
      <w:r>
        <w:rPr>
          <w:rFonts w:cs="Calibri" w:ascii="Calibri" w:hAnsi="Calibri" w:asciiTheme="minorHAnsi" w:hAnsiTheme="minorHAnsi"/>
          <w:b/>
          <w:lang w:val="en-GB"/>
        </w:rPr>
        <w:t>The cyclotron TR-Flex</w:t>
      </w:r>
    </w:p>
    <w:p>
      <w:pPr>
        <w:pStyle w:val="Normal"/>
        <w:jc w:val="both"/>
        <w:rPr>
          <w:rFonts w:ascii="Calibri" w:hAnsi="Calibri" w:cs="Calibri" w:asciiTheme="minorHAnsi" w:hAnsiTheme="minorHAnsi"/>
          <w:lang w:val="en-GB"/>
        </w:rPr>
      </w:pPr>
      <w:r>
        <w:rPr>
          <w:rFonts w:cs="Calibri" w:ascii="Calibri" w:hAnsi="Calibri" w:asciiTheme="minorHAnsi" w:hAnsiTheme="minorHAnsi"/>
          <w:lang w:val="en-GB"/>
        </w:rPr>
        <w:t>The former IBA Cyclone 18/9 cyclotron (Belgium) was in routine operation from 1996 to 2017. It was decided to install a new cyclotron with higher ion energy and higher beam current that gives the possibility to expand the list of radionuclides.</w:t>
      </w:r>
    </w:p>
    <w:p>
      <w:pPr>
        <w:pStyle w:val="Normal"/>
        <w:jc w:val="both"/>
        <w:rPr>
          <w:rFonts w:ascii="Calibri" w:hAnsi="Calibri" w:asciiTheme="minorHAnsi" w:hAnsiTheme="minorHAnsi"/>
          <w:lang w:val="en-GB"/>
        </w:rPr>
      </w:pPr>
      <w:r>
        <w:rPr>
          <w:rFonts w:cs="Calibri" w:ascii="Calibri" w:hAnsi="Calibri" w:asciiTheme="minorHAnsi" w:hAnsiTheme="minorHAnsi"/>
          <w:lang w:val="en-GB"/>
        </w:rPr>
        <w:t>The new cyclotron TR-Flex from Advanced Cyclotron Systems Inc. (Canada)[2] was put into operation in 2017. The cyclotron is equipped with two extraction ports. Both are movable to adjust the energy of the extracted proton beam in the range of 18 MeV up to 30 MeV. Two beamlines are connected behind a combo magnet on the extraction port 1. Two 4 port target selectors are installed at one beamline and the second extraction port. The following targets are installed at the target selectors:</w:t>
      </w:r>
    </w:p>
    <w:p>
      <w:pPr>
        <w:pStyle w:val="Normal"/>
        <w:numPr>
          <w:ilvl w:val="0"/>
          <w:numId w:val="1"/>
        </w:numPr>
        <w:jc w:val="both"/>
        <w:rPr>
          <w:rFonts w:ascii="Calibri" w:hAnsi="Calibri" w:asciiTheme="minorHAnsi" w:hAnsiTheme="minorHAnsi"/>
          <w:lang w:val="en-GB"/>
        </w:rPr>
      </w:pPr>
      <w:r>
        <w:rPr>
          <w:rFonts w:cs="Calibri" w:ascii="Calibri" w:hAnsi="Calibri" w:asciiTheme="minorHAnsi" w:hAnsiTheme="minorHAnsi"/>
          <w:lang w:val="en-GB"/>
        </w:rPr>
        <w:t>two [</w:t>
      </w:r>
      <w:r>
        <w:rPr>
          <w:rFonts w:cs="Calibri" w:ascii="Calibri" w:hAnsi="Calibri" w:asciiTheme="minorHAnsi" w:hAnsiTheme="minorHAnsi"/>
          <w:vertAlign w:val="superscript"/>
          <w:lang w:val="en-GB"/>
        </w:rPr>
        <w:t>18</w:t>
      </w:r>
      <w:r>
        <w:rPr>
          <w:rFonts w:cs="Calibri" w:ascii="Calibri" w:hAnsi="Calibri" w:asciiTheme="minorHAnsi" w:hAnsiTheme="minorHAnsi"/>
          <w:lang w:val="en-GB"/>
        </w:rPr>
        <w:t>F]F</w:t>
      </w:r>
      <w:r>
        <w:rPr>
          <w:rFonts w:cs="Calibri" w:ascii="Calibri" w:hAnsi="Calibri" w:asciiTheme="minorHAnsi" w:hAnsiTheme="minorHAnsi"/>
          <w:vertAlign w:val="superscript"/>
          <w:lang w:val="en-GB"/>
        </w:rPr>
        <w:t>-</w:t>
      </w:r>
      <w:r>
        <w:rPr>
          <w:rFonts w:cs="Calibri" w:ascii="Calibri" w:hAnsi="Calibri" w:asciiTheme="minorHAnsi" w:hAnsiTheme="minorHAnsi"/>
          <w:lang w:val="en-GB"/>
        </w:rPr>
        <w:t xml:space="preserve"> water targets,</w:t>
      </w:r>
    </w:p>
    <w:p>
      <w:pPr>
        <w:pStyle w:val="Normal"/>
        <w:numPr>
          <w:ilvl w:val="0"/>
          <w:numId w:val="1"/>
        </w:numPr>
        <w:jc w:val="both"/>
        <w:rPr>
          <w:rFonts w:ascii="Calibri" w:hAnsi="Calibri" w:asciiTheme="minorHAnsi" w:hAnsiTheme="minorHAnsi"/>
          <w:lang w:val="en-GB"/>
        </w:rPr>
      </w:pPr>
      <w:r>
        <w:rPr>
          <w:rFonts w:cs="Calibri" w:ascii="Calibri" w:hAnsi="Calibri" w:asciiTheme="minorHAnsi" w:hAnsiTheme="minorHAnsi"/>
          <w:lang w:val="en-GB"/>
        </w:rPr>
        <w:t>one [</w:t>
      </w:r>
      <w:r>
        <w:rPr>
          <w:rFonts w:cs="Calibri" w:ascii="Calibri" w:hAnsi="Calibri" w:asciiTheme="minorHAnsi" w:hAnsiTheme="minorHAnsi"/>
          <w:vertAlign w:val="superscript"/>
          <w:lang w:val="en-GB"/>
        </w:rPr>
        <w:t>18</w:t>
      </w:r>
      <w:r>
        <w:rPr>
          <w:rFonts w:cs="Calibri" w:ascii="Calibri" w:hAnsi="Calibri" w:asciiTheme="minorHAnsi" w:hAnsiTheme="minorHAnsi"/>
          <w:lang w:val="en-GB"/>
        </w:rPr>
        <w:t>O]O</w:t>
      </w:r>
      <w:r>
        <w:rPr>
          <w:rFonts w:cs="Calibri" w:ascii="Calibri" w:hAnsi="Calibri" w:asciiTheme="minorHAnsi" w:hAnsiTheme="minorHAnsi"/>
          <w:vertAlign w:val="subscript"/>
          <w:lang w:val="en-GB"/>
        </w:rPr>
        <w:t>2</w:t>
      </w:r>
      <w:r>
        <w:rPr>
          <w:rFonts w:cs="Calibri" w:ascii="Calibri" w:hAnsi="Calibri" w:asciiTheme="minorHAnsi" w:hAnsiTheme="minorHAnsi"/>
          <w:lang w:val="en-GB"/>
        </w:rPr>
        <w:t>[</w:t>
      </w:r>
      <w:r>
        <w:rPr>
          <w:rFonts w:cs="Calibri" w:ascii="Calibri" w:hAnsi="Calibri" w:asciiTheme="minorHAnsi" w:hAnsiTheme="minorHAnsi"/>
          <w:vertAlign w:val="superscript"/>
          <w:lang w:val="en-GB"/>
        </w:rPr>
        <w:t>18</w:t>
      </w:r>
      <w:r>
        <w:rPr>
          <w:rFonts w:cs="Calibri" w:ascii="Calibri" w:hAnsi="Calibri" w:asciiTheme="minorHAnsi" w:hAnsiTheme="minorHAnsi"/>
          <w:lang w:val="en-GB"/>
        </w:rPr>
        <w:t>F]F</w:t>
      </w:r>
      <w:r>
        <w:rPr>
          <w:rFonts w:cs="Calibri" w:ascii="Calibri" w:hAnsi="Calibri" w:asciiTheme="minorHAnsi" w:hAnsiTheme="minorHAnsi"/>
          <w:vertAlign w:val="subscript"/>
          <w:lang w:val="en-GB"/>
        </w:rPr>
        <w:t>2</w:t>
      </w:r>
      <w:r>
        <w:rPr>
          <w:rFonts w:cs="Calibri" w:ascii="Calibri" w:hAnsi="Calibri" w:asciiTheme="minorHAnsi" w:hAnsiTheme="minorHAnsi"/>
          <w:lang w:val="en-GB"/>
        </w:rPr>
        <w:t xml:space="preserve"> gas target,</w:t>
      </w:r>
    </w:p>
    <w:p>
      <w:pPr>
        <w:pStyle w:val="Normal"/>
        <w:numPr>
          <w:ilvl w:val="0"/>
          <w:numId w:val="1"/>
        </w:numPr>
        <w:jc w:val="both"/>
        <w:rPr>
          <w:rFonts w:ascii="Calibri" w:hAnsi="Calibri" w:asciiTheme="minorHAnsi" w:hAnsiTheme="minorHAnsi"/>
          <w:lang w:val="en-GB"/>
        </w:rPr>
      </w:pPr>
      <w:r>
        <w:rPr>
          <w:rFonts w:cs="Calibri" w:ascii="Calibri" w:hAnsi="Calibri" w:asciiTheme="minorHAnsi" w:hAnsiTheme="minorHAnsi"/>
          <w:lang w:val="en-GB"/>
        </w:rPr>
        <w:t>one [</w:t>
      </w:r>
      <w:r>
        <w:rPr>
          <w:rFonts w:cs="Calibri" w:ascii="Calibri" w:hAnsi="Calibri" w:asciiTheme="minorHAnsi" w:hAnsiTheme="minorHAnsi"/>
          <w:vertAlign w:val="superscript"/>
          <w:lang w:val="en-GB"/>
        </w:rPr>
        <w:t>11</w:t>
      </w:r>
      <w:r>
        <w:rPr>
          <w:rFonts w:cs="Calibri" w:ascii="Calibri" w:hAnsi="Calibri" w:asciiTheme="minorHAnsi" w:hAnsiTheme="minorHAnsi"/>
          <w:lang w:val="en-GB"/>
        </w:rPr>
        <w:t>C]CH</w:t>
      </w:r>
      <w:r>
        <w:rPr>
          <w:rFonts w:cs="Calibri" w:ascii="Calibri" w:hAnsi="Calibri" w:asciiTheme="minorHAnsi" w:hAnsiTheme="minorHAnsi"/>
          <w:vertAlign w:val="subscript"/>
          <w:lang w:val="en-GB"/>
        </w:rPr>
        <w:t>4</w:t>
      </w:r>
      <w:r>
        <w:rPr>
          <w:rFonts w:cs="Calibri" w:ascii="Calibri" w:hAnsi="Calibri" w:asciiTheme="minorHAnsi" w:hAnsiTheme="minorHAnsi"/>
          <w:lang w:val="en-GB"/>
        </w:rPr>
        <w:t xml:space="preserve"> gas target,</w:t>
      </w:r>
    </w:p>
    <w:p>
      <w:pPr>
        <w:pStyle w:val="Normal"/>
        <w:numPr>
          <w:ilvl w:val="0"/>
          <w:numId w:val="1"/>
        </w:numPr>
        <w:jc w:val="both"/>
        <w:rPr>
          <w:rFonts w:ascii="Calibri" w:hAnsi="Calibri" w:asciiTheme="minorHAnsi" w:hAnsiTheme="minorHAnsi"/>
          <w:lang w:val="en-GB"/>
        </w:rPr>
      </w:pPr>
      <w:r>
        <w:rPr>
          <w:rFonts w:cs="Calibri" w:ascii="Calibri" w:hAnsi="Calibri" w:asciiTheme="minorHAnsi" w:hAnsiTheme="minorHAnsi"/>
          <w:lang w:val="en-GB"/>
        </w:rPr>
        <w:t>one [</w:t>
      </w:r>
      <w:r>
        <w:rPr>
          <w:rFonts w:cs="Calibri" w:ascii="Calibri" w:hAnsi="Calibri" w:asciiTheme="minorHAnsi" w:hAnsiTheme="minorHAnsi"/>
          <w:vertAlign w:val="superscript"/>
          <w:lang w:val="en-GB"/>
        </w:rPr>
        <w:t>11</w:t>
      </w:r>
      <w:r>
        <w:rPr>
          <w:rFonts w:cs="Calibri" w:ascii="Calibri" w:hAnsi="Calibri" w:asciiTheme="minorHAnsi" w:hAnsiTheme="minorHAnsi"/>
          <w:lang w:val="en-GB"/>
        </w:rPr>
        <w:t>C]CO</w:t>
      </w:r>
      <w:r>
        <w:rPr>
          <w:rFonts w:cs="Calibri" w:ascii="Calibri" w:hAnsi="Calibri" w:asciiTheme="minorHAnsi" w:hAnsiTheme="minorHAnsi"/>
          <w:vertAlign w:val="subscript"/>
          <w:lang w:val="en-GB"/>
        </w:rPr>
        <w:t>2</w:t>
      </w:r>
      <w:r>
        <w:rPr>
          <w:rFonts w:cs="Calibri" w:ascii="Calibri" w:hAnsi="Calibri" w:asciiTheme="minorHAnsi" w:hAnsiTheme="minorHAnsi"/>
          <w:lang w:val="en-GB"/>
        </w:rPr>
        <w:t xml:space="preserve"> gas target,</w:t>
      </w:r>
    </w:p>
    <w:p>
      <w:pPr>
        <w:pStyle w:val="Normal"/>
        <w:numPr>
          <w:ilvl w:val="0"/>
          <w:numId w:val="1"/>
        </w:numPr>
        <w:jc w:val="both"/>
        <w:rPr>
          <w:rFonts w:ascii="Calibri" w:hAnsi="Calibri" w:asciiTheme="minorHAnsi" w:hAnsiTheme="minorHAnsi"/>
          <w:lang w:val="en-GB"/>
        </w:rPr>
      </w:pPr>
      <w:r>
        <w:rPr>
          <w:rFonts w:cs="Calibri" w:ascii="Calibri" w:hAnsi="Calibri" w:asciiTheme="minorHAnsi" w:hAnsiTheme="minorHAnsi"/>
          <w:lang w:val="en-GB"/>
        </w:rPr>
        <w:t>one 30° and one 90° solid state target.</w:t>
      </w:r>
    </w:p>
    <w:p>
      <w:pPr>
        <w:pStyle w:val="Normal"/>
        <w:jc w:val="both"/>
        <w:rPr>
          <w:rFonts w:ascii="Calibri" w:hAnsi="Calibri" w:cs="Calibri" w:asciiTheme="minorHAnsi" w:hAnsiTheme="minorHAnsi"/>
          <w:lang w:val="en-GB"/>
        </w:rPr>
      </w:pPr>
      <w:r>
        <w:rPr>
          <w:rFonts w:cs="Calibri" w:ascii="Calibri" w:hAnsi="Calibri" w:asciiTheme="minorHAnsi" w:hAnsiTheme="minorHAnsi"/>
          <w:lang w:val="en-GB"/>
        </w:rPr>
        <w:t xml:space="preserve">The TR-Flex is operating stable and reliable meanwhile. Typical parameters of the produced radionuclides are presented. Although, the cyclotron is designed to extract ions in the range of 18 MeV up to 30 MeV it is possible to extract these at lower energies down to 14 MeV at the beamline extraction port. Auto-radiographic measurements at beam energies of 14 MeV and 30 MeV were executed to determine the profile of the proton beam hitting the solid target. First production runs for </w:t>
      </w:r>
      <w:r>
        <w:rPr>
          <w:rFonts w:cs="Calibri" w:ascii="Calibri" w:hAnsi="Calibri" w:asciiTheme="minorHAnsi" w:hAnsiTheme="minorHAnsi"/>
          <w:vertAlign w:val="superscript"/>
          <w:lang w:val="en-GB"/>
        </w:rPr>
        <w:t>64</w:t>
      </w:r>
      <w:r>
        <w:rPr>
          <w:rFonts w:cs="Calibri" w:ascii="Calibri" w:hAnsi="Calibri" w:asciiTheme="minorHAnsi" w:hAnsiTheme="minorHAnsi"/>
          <w:lang w:val="en-GB"/>
        </w:rPr>
        <w:t xml:space="preserve">Cu using 14 MeV protons for the </w:t>
      </w:r>
      <w:r>
        <w:rPr>
          <w:rFonts w:cs="Calibri" w:ascii="Calibri" w:hAnsi="Calibri" w:asciiTheme="minorHAnsi" w:hAnsiTheme="minorHAnsi"/>
          <w:vertAlign w:val="superscript"/>
          <w:lang w:val="en-GB"/>
        </w:rPr>
        <w:t>64</w:t>
      </w:r>
      <w:r>
        <w:rPr>
          <w:rFonts w:cs="Calibri" w:ascii="Calibri" w:hAnsi="Calibri" w:asciiTheme="minorHAnsi" w:hAnsiTheme="minorHAnsi"/>
          <w:lang w:val="en-GB"/>
        </w:rPr>
        <w:t>Ni(p,n)</w:t>
      </w:r>
      <w:r>
        <w:rPr>
          <w:rFonts w:cs="Calibri" w:ascii="Calibri" w:hAnsi="Calibri" w:asciiTheme="minorHAnsi" w:hAnsiTheme="minorHAnsi"/>
          <w:vertAlign w:val="superscript"/>
          <w:lang w:val="en-GB"/>
        </w:rPr>
        <w:t>64</w:t>
      </w:r>
      <w:r>
        <w:rPr>
          <w:rFonts w:cs="Calibri" w:ascii="Calibri" w:hAnsi="Calibri" w:asciiTheme="minorHAnsi" w:hAnsiTheme="minorHAnsi"/>
          <w:lang w:val="en-GB"/>
        </w:rPr>
        <w:t>Cu reaction[3,4] were carried out and evaluated. Further, we present results of the [18F]F</w:t>
      </w:r>
      <w:r>
        <w:rPr>
          <w:rFonts w:cs="Calibri" w:ascii="Calibri" w:hAnsi="Calibri" w:asciiTheme="minorHAnsi" w:hAnsiTheme="minorHAnsi"/>
          <w:vertAlign w:val="subscript"/>
          <w:lang w:val="en-GB"/>
        </w:rPr>
        <w:t>2</w:t>
      </w:r>
      <w:r>
        <w:rPr>
          <w:rFonts w:cs="Calibri" w:ascii="Calibri" w:hAnsi="Calibri" w:asciiTheme="minorHAnsi" w:hAnsiTheme="minorHAnsi"/>
          <w:lang w:val="en-GB"/>
        </w:rPr>
        <w:t xml:space="preserve"> target upon making several improvements at the gas handling system.</w:t>
      </w:r>
    </w:p>
    <w:p>
      <w:pPr>
        <w:pStyle w:val="Normal"/>
        <w:jc w:val="both"/>
        <w:rPr>
          <w:rFonts w:ascii="Calibri" w:hAnsi="Calibri" w:asciiTheme="minorHAnsi" w:hAnsiTheme="minorHAnsi"/>
          <w:lang w:val="en-GB"/>
        </w:rPr>
      </w:pPr>
      <w:r>
        <w:rPr>
          <w:rFonts w:cs="Calibri" w:ascii="Calibri" w:hAnsi="Calibri" w:asciiTheme="minorHAnsi" w:hAnsiTheme="minorHAnsi"/>
          <w:b/>
          <w:lang w:val="en-GB"/>
        </w:rPr>
        <w:t>Radionuclide Distribution System</w:t>
      </w:r>
    </w:p>
    <w:p>
      <w:pPr>
        <w:pStyle w:val="Normal"/>
        <w:jc w:val="both"/>
        <w:rPr>
          <w:rFonts w:ascii="Calibri" w:hAnsi="Calibri" w:asciiTheme="minorHAnsi" w:hAnsiTheme="minorHAnsi"/>
          <w:lang w:val="en-GB"/>
        </w:rPr>
      </w:pPr>
      <w:r>
        <w:rPr>
          <w:rFonts w:cs="Calibri" w:ascii="Calibri" w:hAnsi="Calibri" w:asciiTheme="minorHAnsi" w:hAnsiTheme="minorHAnsi"/>
          <w:lang w:val="en-GB"/>
        </w:rPr>
        <w:t>A new Radionuclide Distribution System was developed and installed by the Department of Research Technology of the HZDR. The liquid targets are unloaded through capillaries to a central hot cell. Henceforward the radionuclides can be distributed automatically to the GMP unit and the research hot cells.</w:t>
      </w:r>
    </w:p>
    <w:p>
      <w:pPr>
        <w:pStyle w:val="Normal"/>
        <w:jc w:val="both"/>
        <w:rPr>
          <w:rFonts w:ascii="Calibri" w:hAnsi="Calibri" w:cs="Calibri" w:asciiTheme="minorHAnsi" w:hAnsiTheme="minorHAnsi"/>
          <w:lang w:val="en-GB"/>
        </w:rPr>
      </w:pPr>
      <w:r>
        <w:rPr>
          <w:rFonts w:cs="Calibri" w:ascii="Calibri" w:hAnsi="Calibri" w:asciiTheme="minorHAnsi" w:hAnsiTheme="minorHAnsi"/>
          <w:lang w:val="en-GB"/>
        </w:rPr>
        <w:t>The gas targets are unloaded to the selected final hot cells directly. During the transport the Radionuclide Distribution System sets the correct paths and supervises the relevant parameters and interlock system for the radiation protection.</w:t>
      </w:r>
    </w:p>
    <w:p>
      <w:pPr>
        <w:pStyle w:val="Normal"/>
        <w:jc w:val="both"/>
        <w:rPr>
          <w:rFonts w:ascii="Calibri" w:hAnsi="Calibri" w:cs="Calibri" w:asciiTheme="minorHAnsi" w:hAnsiTheme="minorHAnsi"/>
          <w:b/>
          <w:b/>
          <w:lang w:val="en-GB"/>
        </w:rPr>
      </w:pPr>
      <w:r>
        <w:rPr>
          <w:rFonts w:cs="Calibri" w:ascii="Calibri" w:hAnsi="Calibri" w:asciiTheme="minorHAnsi" w:hAnsiTheme="minorHAnsi"/>
          <w:b/>
          <w:lang w:val="en-GB"/>
        </w:rPr>
        <w:t>Conclusion</w:t>
      </w:r>
    </w:p>
    <w:p>
      <w:pPr>
        <w:pStyle w:val="Normal"/>
        <w:jc w:val="both"/>
        <w:rPr/>
      </w:pPr>
      <w:r>
        <w:rPr>
          <w:rFonts w:cs="Calibri" w:ascii="Calibri" w:hAnsi="Calibri"/>
          <w:lang w:val="en-GB"/>
        </w:rPr>
        <w:t>In our contribution we present the new cyclotron TR-Flex including first results of the radionuclide production and beam characterization measurements as well as aspects of the new Center for Radiopharmaceutical Cancer Research including the new radiopharmaceutical production and research infrastructure.</w:t>
      </w:r>
      <w:bookmarkStart w:id="1" w:name="_GoBack"/>
      <w:bookmarkEnd w:id="1"/>
    </w:p>
    <w:p>
      <w:pPr>
        <w:pStyle w:val="Normal"/>
        <w:jc w:val="both"/>
        <w:rPr>
          <w:rFonts w:ascii="Calibri" w:hAnsi="Calibri" w:asciiTheme="minorHAnsi" w:hAnsiTheme="minorHAnsi"/>
          <w:lang w:val="en-GB"/>
        </w:rPr>
      </w:pPr>
      <w:r>
        <w:rPr>
          <w:rFonts w:cs="Calibri" w:ascii="Calibri" w:hAnsi="Calibri" w:asciiTheme="minorHAnsi" w:hAnsiTheme="minorHAnsi"/>
          <w:b/>
          <w:lang w:val="en-GB"/>
        </w:rPr>
        <w:t>References</w:t>
      </w:r>
    </w:p>
    <w:p>
      <w:pPr>
        <w:pStyle w:val="Reference"/>
        <w:rPr/>
      </w:pPr>
      <w:r>
        <w:rPr>
          <w:lang w:val="en-GB"/>
        </w:rPr>
        <w:fldChar w:fldCharType="begin"/>
      </w:r>
      <w:r>
        <w:rPr/>
        <w:instrText> SEQ "References" \* ARABIC </w:instrText>
      </w:r>
      <w:r>
        <w:rPr/>
        <w:fldChar w:fldCharType="separate"/>
      </w:r>
      <w:r>
        <w:rPr/>
        <w:t>1</w:t>
      </w:r>
      <w:r>
        <w:rPr/>
        <w:fldChar w:fldCharType="end"/>
      </w:r>
      <w:r>
        <w:rPr>
          <w:rFonts w:cs="Calibri" w:ascii="Calibri" w:hAnsi="Calibri" w:asciiTheme="minorHAnsi" w:hAnsiTheme="minorHAnsi"/>
          <w:szCs w:val="18"/>
          <w:lang w:val="en-GB"/>
        </w:rPr>
        <w:t>.</w:t>
        <w:tab/>
        <w:t xml:space="preserve">H. Spies, J. Steinbach: </w:t>
      </w:r>
      <w:r>
        <w:rPr>
          <w:rFonts w:cs="Calibri" w:ascii="Calibri" w:hAnsi="Calibri" w:asciiTheme="minorHAnsi" w:hAnsiTheme="minorHAnsi"/>
          <w:i/>
          <w:iCs/>
          <w:color w:val="000000"/>
          <w:szCs w:val="18"/>
          <w:lang w:val="en-GB" w:eastAsia="de-DE"/>
        </w:rPr>
        <w:t>J. Label. Compd. Radiopharm.</w:t>
      </w:r>
      <w:r>
        <w:rPr>
          <w:rFonts w:cs="Calibri" w:ascii="Calibri" w:hAnsi="Calibri" w:asciiTheme="minorHAnsi" w:hAnsiTheme="minorHAnsi"/>
          <w:color w:val="000000"/>
          <w:szCs w:val="18"/>
          <w:lang w:val="en-GB" w:eastAsia="de-DE"/>
        </w:rPr>
        <w:t xml:space="preserve"> </w:t>
      </w:r>
      <w:r>
        <w:rPr>
          <w:rFonts w:cs="Calibri" w:ascii="Calibri" w:hAnsi="Calibri" w:asciiTheme="minorHAnsi" w:hAnsiTheme="minorHAnsi"/>
          <w:b/>
          <w:bCs/>
          <w:szCs w:val="18"/>
          <w:lang w:val="en-GB"/>
        </w:rPr>
        <w:t>50</w:t>
      </w:r>
      <w:r>
        <w:rPr>
          <w:rFonts w:cs="Calibri" w:ascii="Calibri" w:hAnsi="Calibri" w:asciiTheme="minorHAnsi" w:hAnsiTheme="minorHAnsi"/>
          <w:szCs w:val="18"/>
          <w:lang w:val="en-GB"/>
        </w:rPr>
        <w:t>, pp 895–902, 2007.</w:t>
      </w:r>
    </w:p>
    <w:p>
      <w:pPr>
        <w:pStyle w:val="Reference"/>
        <w:rPr>
          <w:rFonts w:ascii="Calibri" w:hAnsi="Calibri" w:asciiTheme="minorHAnsi" w:hAnsiTheme="minorHAnsi"/>
          <w:lang w:val="en-GB"/>
        </w:rPr>
      </w:pPr>
      <w:r>
        <w:rPr>
          <w:rFonts w:cs="Calibri" w:ascii="Calibri" w:hAnsi="Calibri" w:asciiTheme="minorHAnsi" w:hAnsiTheme="minorHAnsi"/>
          <w:color w:val="000000"/>
          <w:szCs w:val="18"/>
          <w:lang w:val="en-GB" w:eastAsia="de-DE"/>
        </w:rPr>
        <w:t>2.</w:t>
        <w:tab/>
        <w:t xml:space="preserve">R. Watt, W. Gyles, A. Zyuzin: </w:t>
      </w:r>
      <w:r>
        <w:rPr>
          <w:rFonts w:cs="Calibri" w:ascii="Calibri" w:hAnsi="Calibri" w:asciiTheme="minorHAnsi" w:hAnsiTheme="minorHAnsi"/>
          <w:i/>
          <w:iCs/>
          <w:color w:val="000000"/>
          <w:szCs w:val="18"/>
          <w:lang w:val="en-GB" w:eastAsia="de-DE"/>
        </w:rPr>
        <w:t>J. Radioanal. Nucl. Chem:</w:t>
      </w:r>
      <w:r>
        <w:rPr>
          <w:rFonts w:cs="Calibri" w:ascii="Calibri" w:hAnsi="Calibri" w:asciiTheme="minorHAnsi" w:hAnsiTheme="minorHAnsi"/>
          <w:color w:val="000000"/>
          <w:szCs w:val="18"/>
          <w:lang w:val="en-GB" w:eastAsia="de-DE"/>
        </w:rPr>
        <w:t xml:space="preserve"> </w:t>
      </w:r>
      <w:r>
        <w:rPr>
          <w:rFonts w:cs="Calibri" w:ascii="Calibri" w:hAnsi="Calibri" w:asciiTheme="minorHAnsi" w:hAnsiTheme="minorHAnsi"/>
          <w:b/>
          <w:bCs/>
          <w:color w:val="000000"/>
          <w:szCs w:val="18"/>
          <w:lang w:val="en-GB" w:eastAsia="de-DE"/>
        </w:rPr>
        <w:t>305</w:t>
      </w:r>
      <w:r>
        <w:rPr>
          <w:rFonts w:cs="Calibri" w:ascii="Calibri" w:hAnsi="Calibri" w:asciiTheme="minorHAnsi" w:hAnsiTheme="minorHAnsi"/>
          <w:color w:val="000000"/>
          <w:szCs w:val="18"/>
          <w:lang w:val="en-GB" w:eastAsia="de-DE"/>
        </w:rPr>
        <w:t>, pp 93-98, 2015.</w:t>
      </w:r>
    </w:p>
    <w:p>
      <w:pPr>
        <w:pStyle w:val="Reference"/>
        <w:rPr/>
      </w:pPr>
      <w:r>
        <w:rPr>
          <w:rFonts w:cs="Calibri" w:ascii="Calibri" w:hAnsi="Calibri" w:asciiTheme="minorHAnsi" w:hAnsiTheme="minorHAnsi"/>
          <w:color w:val="000000"/>
          <w:szCs w:val="18"/>
          <w:lang w:val="en-GB" w:eastAsia="de-DE"/>
        </w:rPr>
        <w:t>3.</w:t>
        <w:tab/>
        <w:t>D.W. McCarthy, R.E. Shefer, R.E. Klinkowstein,  L.A. Bass, W.H. Margeneau, C.S. Cutler, C.J. Anderson, M. J. Welch:</w:t>
      </w:r>
      <w:r>
        <w:rPr>
          <w:rFonts w:cs="Calibri" w:ascii="Calibri" w:hAnsi="Calibri" w:asciiTheme="minorHAnsi" w:hAnsiTheme="minorHAnsi"/>
          <w:i/>
          <w:color w:val="000000"/>
          <w:szCs w:val="18"/>
          <w:lang w:val="en-GB" w:eastAsia="de-DE"/>
        </w:rPr>
        <w:t xml:space="preserve"> Nucl. Med. Biol.</w:t>
      </w:r>
      <w:r>
        <w:rPr>
          <w:rFonts w:cs="Calibri" w:ascii="Calibri" w:hAnsi="Calibri" w:asciiTheme="minorHAnsi" w:hAnsiTheme="minorHAnsi"/>
          <w:color w:val="000000"/>
          <w:szCs w:val="18"/>
          <w:lang w:val="en-GB" w:eastAsia="de-DE"/>
        </w:rPr>
        <w:t xml:space="preserve"> </w:t>
      </w:r>
      <w:r>
        <w:rPr>
          <w:rFonts w:cs="Calibri" w:ascii="Calibri" w:hAnsi="Calibri" w:asciiTheme="minorHAnsi" w:hAnsiTheme="minorHAnsi"/>
          <w:b/>
          <w:bCs/>
          <w:color w:val="000000"/>
          <w:szCs w:val="18"/>
          <w:lang w:val="en-GB" w:eastAsia="de-DE"/>
        </w:rPr>
        <w:t>24</w:t>
      </w:r>
      <w:r>
        <w:rPr>
          <w:rFonts w:cs="Calibri" w:ascii="Calibri" w:hAnsi="Calibri" w:asciiTheme="minorHAnsi" w:hAnsiTheme="minorHAnsi"/>
          <w:color w:val="000000"/>
          <w:szCs w:val="18"/>
          <w:lang w:val="en-GB" w:eastAsia="de-DE"/>
        </w:rPr>
        <w:t>, pp 35-43, 1997.</w:t>
      </w:r>
    </w:p>
    <w:p>
      <w:pPr>
        <w:pStyle w:val="Reference"/>
        <w:rPr/>
      </w:pPr>
      <w:r>
        <w:rPr>
          <w:rFonts w:cs="Calibri" w:ascii="Calibri" w:hAnsi="Calibri" w:asciiTheme="minorHAnsi" w:hAnsiTheme="minorHAnsi"/>
          <w:color w:val="000000"/>
          <w:szCs w:val="18"/>
          <w:lang w:val="en-GB" w:eastAsia="de-DE"/>
        </w:rPr>
        <w:t>4.</w:t>
        <w:tab/>
        <w:t xml:space="preserve">S. Thieme, M. Walther, H.-J. Pietzsch, J. Henniger, S. Preusche, P. Maeding, J. Steinbach: </w:t>
      </w:r>
      <w:r>
        <w:rPr>
          <w:rFonts w:cs="Calibri" w:ascii="Calibri" w:hAnsi="Calibri" w:asciiTheme="minorHAnsi" w:hAnsiTheme="minorHAnsi"/>
          <w:i/>
          <w:color w:val="000000"/>
          <w:szCs w:val="18"/>
          <w:lang w:val="en-GB" w:eastAsia="de-DE"/>
        </w:rPr>
        <w:t>Applied Radiation and Isotopes,</w:t>
      </w:r>
      <w:r>
        <w:rPr>
          <w:rFonts w:cs="Calibri" w:ascii="Calibri" w:hAnsi="Calibri" w:asciiTheme="minorHAnsi" w:hAnsiTheme="minorHAnsi"/>
          <w:color w:val="000000"/>
          <w:szCs w:val="18"/>
          <w:lang w:val="en-GB" w:eastAsia="de-DE"/>
        </w:rPr>
        <w:t xml:space="preserve"> </w:t>
      </w:r>
      <w:r>
        <w:rPr>
          <w:rFonts w:cs="Calibri" w:ascii="Calibri" w:hAnsi="Calibri" w:asciiTheme="minorHAnsi" w:hAnsiTheme="minorHAnsi"/>
          <w:b/>
          <w:color w:val="000000"/>
          <w:szCs w:val="18"/>
          <w:lang w:val="en-GB" w:eastAsia="de-DE"/>
        </w:rPr>
        <w:t>70</w:t>
      </w:r>
      <w:r>
        <w:rPr>
          <w:rFonts w:cs="Calibri" w:ascii="Calibri" w:hAnsi="Calibri" w:asciiTheme="minorHAnsi" w:hAnsiTheme="minorHAnsi"/>
          <w:color w:val="000000"/>
          <w:szCs w:val="18"/>
          <w:lang w:val="en-GB" w:eastAsia="de-DE"/>
        </w:rPr>
        <w:t xml:space="preserve"> pp 602-608, 2012</w:t>
      </w:r>
    </w:p>
    <w:sectPr>
      <w:type w:val="continuous"/>
      <w:pgSz w:w="11906" w:h="16838"/>
      <w:pgMar w:left="1800" w:right="1440" w:header="709" w:top="1440" w:footer="737" w:bottom="1157" w:gutter="0"/>
      <w:cols w:num="2" w:space="708" w:equalWidth="true" w:sep="false"/>
      <w:formProt w:val="false"/>
      <w:textDirection w:val="lrTb"/>
      <w:docGrid w:type="default" w:linePitch="360" w:charSpace="100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Fonts w:cs="Calibri" w:ascii="Calibri" w:hAnsi="Calibri"/>
        <w:sz w:val="18"/>
        <w:szCs w:val="18"/>
        <w:vertAlign w:val="superscript"/>
      </w:rPr>
      <w:t>1</w:t>
    </w:r>
    <w:r>
      <w:rPr>
        <w:rFonts w:cs="Calibri" w:ascii="Calibri" w:hAnsi="Calibri"/>
        <w:sz w:val="18"/>
        <w:szCs w:val="18"/>
      </w:rPr>
      <w:t>m.kreller@hzdr.de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lang w:val="en-US" w:bidi="ar-SA"/>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lang w:val="en-US" w:bidi="ar-SA"/>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lang w:val="en-US" w:bidi="ar-SA"/>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mirrorMargins/>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jc w:val="left"/>
    </w:pPr>
    <w:rPr>
      <w:rFonts w:ascii="Arial" w:hAnsi="Arial" w:cs="Arial" w:eastAsia="Times New Roman"/>
      <w:color w:val="auto"/>
      <w:kern w:val="0"/>
      <w:sz w:val="20"/>
      <w:szCs w:val="20"/>
      <w:lang w:eastAsia="zh-CN" w:val="de-DE"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OpenSymbol"/>
      <w:lang w:val="en-US" w:bidi="ar-SA"/>
    </w:rPr>
  </w:style>
  <w:style w:type="character" w:styleId="WW8Num1z1" w:customStyle="1">
    <w:name w:val="WW8Num1z1"/>
    <w:qFormat/>
    <w:rPr>
      <w:rFonts w:ascii="OpenSymbol" w:hAnsi="Open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Tipodeletrapredefinidodopargrafo" w:customStyle="1">
    <w:name w:val="Tipo de letra predefinido do parágrafo"/>
    <w:qFormat/>
    <w:rPr/>
  </w:style>
  <w:style w:type="character" w:styleId="TextodenotaderodapCarter" w:customStyle="1">
    <w:name w:val="Texto de nota de rodapé Caráter"/>
    <w:qFormat/>
    <w:rPr>
      <w:rFonts w:ascii="Arial" w:hAnsi="Arial" w:eastAsia="Times New Roman" w:cs="Arial"/>
      <w:sz w:val="20"/>
      <w:szCs w:val="20"/>
      <w:lang w:val="de-DE"/>
    </w:rPr>
  </w:style>
  <w:style w:type="character" w:styleId="Funotenzeichen1" w:customStyle="1">
    <w:name w:val="Fußnotenzeichen1"/>
    <w:qFormat/>
    <w:rPr>
      <w:vertAlign w:val="superscript"/>
    </w:rPr>
  </w:style>
  <w:style w:type="character" w:styleId="CabealhoCarter" w:customStyle="1">
    <w:name w:val="Cabeçalho Caráter"/>
    <w:qFormat/>
    <w:rPr>
      <w:rFonts w:ascii="Arial" w:hAnsi="Arial" w:eastAsia="Times New Roman" w:cs="Arial"/>
      <w:sz w:val="20"/>
      <w:szCs w:val="20"/>
      <w:lang w:val="de-DE"/>
    </w:rPr>
  </w:style>
  <w:style w:type="character" w:styleId="RodapCarter" w:customStyle="1">
    <w:name w:val="Rodapé Caráter"/>
    <w:qFormat/>
    <w:rPr>
      <w:rFonts w:ascii="Arial" w:hAnsi="Arial" w:eastAsia="Times New Roman" w:cs="Arial"/>
      <w:sz w:val="20"/>
      <w:szCs w:val="20"/>
      <w:lang w:val="de-DE"/>
    </w:rPr>
  </w:style>
  <w:style w:type="character" w:styleId="TextodebaloCarter" w:customStyle="1">
    <w:name w:val="Texto de balão Caráter"/>
    <w:qFormat/>
    <w:rPr>
      <w:rFonts w:ascii="Tahoma" w:hAnsi="Tahoma" w:eastAsia="Times New Roman" w:cs="Tahoma"/>
      <w:sz w:val="16"/>
      <w:szCs w:val="16"/>
      <w:lang w:val="de-DE"/>
    </w:rPr>
  </w:style>
  <w:style w:type="character" w:styleId="Aufzhlungszeichen1" w:customStyle="1">
    <w:name w:val="Aufzählungszeichen1"/>
    <w:qFormat/>
    <w:rPr>
      <w:rFonts w:ascii="OpenSymbol" w:hAnsi="OpenSymbol" w:eastAsia="OpenSymbol" w:cs="OpenSymbol"/>
    </w:rPr>
  </w:style>
  <w:style w:type="character" w:styleId="Strong">
    <w:name w:val="Strong"/>
    <w:qFormat/>
    <w:rPr>
      <w:b/>
      <w:bCs/>
    </w:rPr>
  </w:style>
  <w:style w:type="character" w:styleId="ListLabel1" w:customStyle="1">
    <w:name w:val="ListLabel 1"/>
    <w:qFormat/>
    <w:rPr>
      <w:rFonts w:cs="OpenSymbol"/>
      <w:lang w:val="en-US" w:bidi="ar-SA"/>
    </w:rPr>
  </w:style>
  <w:style w:type="character" w:styleId="ListLabel2" w:customStyle="1">
    <w:name w:val="ListLabel 2"/>
    <w:qFormat/>
    <w:rPr>
      <w:rFonts w:cs="OpenSymbol"/>
    </w:rPr>
  </w:style>
  <w:style w:type="character" w:styleId="ListLabel3" w:customStyle="1">
    <w:name w:val="ListLabel 3"/>
    <w:qFormat/>
    <w:rPr>
      <w:rFonts w:cs="OpenSymbol"/>
    </w:rPr>
  </w:style>
  <w:style w:type="character" w:styleId="ListLabel4" w:customStyle="1">
    <w:name w:val="ListLabel 4"/>
    <w:qFormat/>
    <w:rPr>
      <w:rFonts w:cs="OpenSymbol"/>
      <w:lang w:val="en-US" w:bidi="ar-SA"/>
    </w:rPr>
  </w:style>
  <w:style w:type="character" w:styleId="ListLabel5" w:customStyle="1">
    <w:name w:val="ListLabel 5"/>
    <w:qFormat/>
    <w:rPr>
      <w:rFonts w:cs="OpenSymbol"/>
    </w:rPr>
  </w:style>
  <w:style w:type="character" w:styleId="ListLabel6" w:customStyle="1">
    <w:name w:val="ListLabel 6"/>
    <w:qFormat/>
    <w:rPr>
      <w:rFonts w:cs="OpenSymbol"/>
    </w:rPr>
  </w:style>
  <w:style w:type="character" w:styleId="ListLabel7" w:customStyle="1">
    <w:name w:val="ListLabel 7"/>
    <w:qFormat/>
    <w:rPr>
      <w:rFonts w:cs="OpenSymbol"/>
      <w:lang w:val="en-US" w:bidi="ar-SA"/>
    </w:rPr>
  </w:style>
  <w:style w:type="character" w:styleId="ListLabel8" w:customStyle="1">
    <w:name w:val="ListLabel 8"/>
    <w:qFormat/>
    <w:rPr>
      <w:rFonts w:cs="OpenSymbol"/>
    </w:rPr>
  </w:style>
  <w:style w:type="character" w:styleId="ListLabel9" w:customStyle="1">
    <w:name w:val="ListLabel 9"/>
    <w:qFormat/>
    <w:rPr>
      <w:rFonts w:cs="OpenSymbol"/>
    </w:rPr>
  </w:style>
  <w:style w:type="character" w:styleId="ListLabel10">
    <w:name w:val="ListLabel 10"/>
    <w:qFormat/>
    <w:rPr>
      <w:rFonts w:cs="OpenSymbol"/>
      <w:lang w:val="en-US" w:bidi="ar-SA"/>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lang w:val="en-US" w:bidi="ar-SA"/>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lang w:val="en-US" w:bidi="ar-SA"/>
    </w:rPr>
  </w:style>
  <w:style w:type="character" w:styleId="ListLabel17">
    <w:name w:val="ListLabel 17"/>
    <w:qFormat/>
    <w:rPr>
      <w:rFonts w:cs="OpenSymbol"/>
    </w:rPr>
  </w:style>
  <w:style w:type="character" w:styleId="ListLabel18">
    <w:name w:val="ListLabel 18"/>
    <w:qFormat/>
    <w:rPr>
      <w:rFonts w:cs="OpenSymbol"/>
    </w:rPr>
  </w:style>
  <w:style w:type="paragraph" w:styleId="Berschrift" w:customStyle="1">
    <w:name w:val="Überschrift"/>
    <w:basedOn w:val="Normal"/>
    <w:next w:val="Textkrper"/>
    <w:qFormat/>
    <w:pPr>
      <w:keepNext w:val="true"/>
      <w:spacing w:before="240" w:after="120"/>
    </w:pPr>
    <w:rPr>
      <w:rFonts w:ascii="Liberation Sans" w:hAnsi="Liberation Sans" w:eastAsia="AR PL SungtiL GB" w:cs="Free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FreeSans"/>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Reference" w:customStyle="1">
    <w:name w:val="Reference"/>
    <w:basedOn w:val="Normal"/>
    <w:qFormat/>
    <w:pPr>
      <w:ind w:left="270" w:hanging="270"/>
      <w:jc w:val="both"/>
    </w:pPr>
    <w:rPr>
      <w:rFonts w:ascii="Times New Roman" w:hAnsi="Times New Roman" w:cs="Times New Roman"/>
      <w:sz w:val="18"/>
      <w:lang w:val="en-US"/>
    </w:rPr>
  </w:style>
  <w:style w:type="paragraph" w:styleId="Funote">
    <w:name w:val="Footnote Text"/>
    <w:basedOn w:val="Normal"/>
    <w:qFormat/>
    <w:pPr/>
    <w:rPr/>
  </w:style>
  <w:style w:type="paragraph" w:styleId="Kopfzeile">
    <w:name w:val="Header"/>
    <w:basedOn w:val="Normal"/>
    <w:pPr/>
    <w:rPr/>
  </w:style>
  <w:style w:type="paragraph" w:styleId="Fuzeile">
    <w:name w:val="Footer"/>
    <w:basedOn w:val="Normal"/>
    <w:pPr/>
    <w:rPr/>
  </w:style>
  <w:style w:type="paragraph" w:styleId="Textodebalo" w:customStyle="1">
    <w:name w:val="Texto de balão"/>
    <w:basedOn w:val="Normal"/>
    <w:qFormat/>
    <w:pPr/>
    <w:rPr>
      <w:rFonts w:ascii="Tahoma" w:hAnsi="Tahoma" w:cs="Tahoma"/>
      <w:sz w:val="16"/>
      <w:szCs w:val="16"/>
    </w:rPr>
  </w:style>
  <w:style w:type="paragraph" w:styleId="TabellenInhalt" w:customStyle="1">
    <w:name w:val="Tabellen Inhalt"/>
    <w:basedOn w:val="Normal"/>
    <w:qFormat/>
    <w:pPr>
      <w:suppressLineNumbers/>
    </w:pPr>
    <w:rPr/>
  </w:style>
  <w:style w:type="paragraph" w:styleId="Tabellenberschrift" w:customStyle="1">
    <w:name w:val="Tabellen Überschrift"/>
    <w:basedOn w:val="TabellenInhalt"/>
    <w:qFormat/>
    <w:pPr>
      <w:jc w:val="center"/>
    </w:pPr>
    <w:rPr>
      <w:b/>
      <w:bCs/>
    </w:rPr>
  </w:style>
  <w:style w:type="paragraph" w:styleId="Western" w:customStyle="1">
    <w:name w:val="western"/>
    <w:basedOn w:val="Normal"/>
    <w:qFormat/>
    <w:rsid w:val="00401951"/>
    <w:pPr>
      <w:spacing w:lineRule="auto" w:line="288" w:beforeAutospacing="1" w:after="142"/>
    </w:pPr>
    <w:rPr>
      <w:sz w:val="24"/>
      <w:szCs w:val="24"/>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LibreOffice/6.0.3.2$Linux_X86_64 LibreOffice_project/00m0$Build-2</Application>
  <Pages>1</Pages>
  <Words>664</Words>
  <Characters>3807</Characters>
  <CharactersWithSpaces>4436</CharactersWithSpaces>
  <Paragraphs>31</Paragraphs>
  <Company>HZDR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2018-04-25T07:24:00Z</dcterms:created>
  <dc:creator>WTTC</dc:creator>
  <dc:description/>
  <dc:language>de-DE</dc:language>
  <cp:lastModifiedBy/>
  <cp:lastPrinted>2018-04-24T08:49:00Z</cp:lastPrinted>
  <dcterms:modified xsi:type="dcterms:W3CDTF">2018-04-29T16:15:45Z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HZDR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